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0"/>
          <w:szCs w:val="40"/>
        </w:rPr>
      </w:pPr>
      <w:r>
        <w:rPr>
          <w:rFonts w:hint="eastAsia" w:ascii="方正小标宋_GBK" w:hAnsi="方正小标宋_GBK" w:eastAsia="方正小标宋_GBK" w:cs="方正小标宋_GBK"/>
          <w:i w:val="0"/>
          <w:iCs w:val="0"/>
          <w:caps w:val="0"/>
          <w:color w:val="333333"/>
          <w:spacing w:val="0"/>
          <w:sz w:val="40"/>
          <w:szCs w:val="40"/>
        </w:rPr>
        <w:t>重庆市统计局202</w:t>
      </w:r>
      <w:r>
        <w:rPr>
          <w:rFonts w:hint="eastAsia" w:ascii="方正小标宋_GBK" w:hAnsi="方正小标宋_GBK" w:eastAsia="方正小标宋_GBK" w:cs="方正小标宋_GBK"/>
          <w:i w:val="0"/>
          <w:iCs w:val="0"/>
          <w:caps w:val="0"/>
          <w:color w:val="333333"/>
          <w:spacing w:val="0"/>
          <w:sz w:val="40"/>
          <w:szCs w:val="40"/>
          <w:lang w:val="en"/>
        </w:rPr>
        <w:t>1</w:t>
      </w:r>
      <w:r>
        <w:rPr>
          <w:rFonts w:hint="eastAsia" w:ascii="方正小标宋_GBK" w:hAnsi="方正小标宋_GBK" w:eastAsia="方正小标宋_GBK" w:cs="方正小标宋_GBK"/>
          <w:i w:val="0"/>
          <w:iCs w:val="0"/>
          <w:caps w:val="0"/>
          <w:color w:val="333333"/>
          <w:spacing w:val="0"/>
          <w:sz w:val="40"/>
          <w:szCs w:val="40"/>
        </w:rPr>
        <w:t>年政府信息公开工作年度报告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0"/>
          <w:szCs w:val="4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rPr>
        <w:t>根据《中华人民共和国政府信息公开条例》规定和《国务院办公厅政府信息与政务公开办公室关于政府信息公开工作年度报告有关事项的通知》（国办公开办</w:t>
      </w:r>
      <w:r>
        <w:rPr>
          <w:rFonts w:hint="eastAsia" w:ascii="Times New Roman" w:hAnsi="Times New Roman" w:eastAsia="方正仿宋_GBK" w:cs="Times New Roman"/>
          <w:i w:val="0"/>
          <w:iCs w:val="0"/>
          <w:caps w:val="0"/>
          <w:color w:val="auto"/>
          <w:spacing w:val="0"/>
          <w:sz w:val="32"/>
          <w:szCs w:val="32"/>
          <w:lang w:eastAsia="zh-CN"/>
        </w:rPr>
        <w:t>函</w:t>
      </w:r>
      <w:r>
        <w:rPr>
          <w:rFonts w:hint="default" w:ascii="Times New Roman" w:hAnsi="Times New Roman" w:eastAsia="方正仿宋_GBK" w:cs="Times New Roman"/>
          <w:i w:val="0"/>
          <w:iCs w:val="0"/>
          <w:caps w:val="0"/>
          <w:color w:val="333333"/>
          <w:spacing w:val="0"/>
          <w:sz w:val="32"/>
          <w:szCs w:val="32"/>
        </w:rPr>
        <w:t>〔</w:t>
      </w:r>
      <w:r>
        <w:rPr>
          <w:rFonts w:hint="default" w:ascii="Times New Roman" w:hAnsi="Times New Roman" w:eastAsia="微软雅黑" w:cs="Times New Roman"/>
          <w:i w:val="0"/>
          <w:iCs w:val="0"/>
          <w:caps w:val="0"/>
          <w:color w:val="333333"/>
          <w:spacing w:val="0"/>
          <w:sz w:val="32"/>
          <w:szCs w:val="32"/>
        </w:rPr>
        <w:t>2019</w:t>
      </w:r>
      <w:r>
        <w:rPr>
          <w:rFonts w:hint="default" w:ascii="Times New Roman" w:hAnsi="Times New Roman" w:eastAsia="方正仿宋_GBK" w:cs="Times New Roman"/>
          <w:i w:val="0"/>
          <w:iCs w:val="0"/>
          <w:caps w:val="0"/>
          <w:color w:val="333333"/>
          <w:spacing w:val="0"/>
          <w:sz w:val="32"/>
          <w:szCs w:val="32"/>
        </w:rPr>
        <w:t>〕</w:t>
      </w:r>
      <w:r>
        <w:rPr>
          <w:rFonts w:hint="default" w:ascii="Times New Roman" w:hAnsi="Times New Roman" w:eastAsia="微软雅黑" w:cs="Times New Roman"/>
          <w:i w:val="0"/>
          <w:iCs w:val="0"/>
          <w:caps w:val="0"/>
          <w:color w:val="333333"/>
          <w:spacing w:val="0"/>
          <w:sz w:val="32"/>
          <w:szCs w:val="32"/>
        </w:rPr>
        <w:t>60</w:t>
      </w:r>
      <w:r>
        <w:rPr>
          <w:rFonts w:hint="default" w:ascii="Times New Roman" w:hAnsi="Times New Roman" w:eastAsia="方正仿宋_GBK" w:cs="Times New Roman"/>
          <w:i w:val="0"/>
          <w:iCs w:val="0"/>
          <w:caps w:val="0"/>
          <w:color w:val="333333"/>
          <w:spacing w:val="0"/>
          <w:sz w:val="32"/>
          <w:szCs w:val="32"/>
        </w:rPr>
        <w:t>号）</w:t>
      </w:r>
      <w:r>
        <w:rPr>
          <w:rFonts w:hint="default" w:ascii="Times New Roman" w:hAnsi="Times New Roman" w:eastAsia="方正仿宋_GBK" w:cs="Times New Roman"/>
          <w:i w:val="0"/>
          <w:iCs w:val="0"/>
          <w:caps w:val="0"/>
          <w:color w:val="333333"/>
          <w:spacing w:val="0"/>
          <w:sz w:val="32"/>
          <w:szCs w:val="32"/>
          <w:lang w:eastAsia="zh-CN"/>
        </w:rPr>
        <w:t>要求</w:t>
      </w:r>
      <w:r>
        <w:rPr>
          <w:rFonts w:hint="default" w:ascii="Times New Roman" w:hAnsi="Times New Roman" w:eastAsia="方正仿宋_GBK" w:cs="Times New Roman"/>
          <w:i w:val="0"/>
          <w:iCs w:val="0"/>
          <w:caps w:val="0"/>
          <w:color w:val="333333"/>
          <w:spacing w:val="0"/>
          <w:sz w:val="32"/>
          <w:szCs w:val="32"/>
        </w:rPr>
        <w:t>，现发布《重庆市统计局</w:t>
      </w:r>
      <w:r>
        <w:rPr>
          <w:rFonts w:hint="default" w:ascii="Times New Roman" w:hAnsi="Times New Roman" w:eastAsia="微软雅黑" w:cs="Times New Roman"/>
          <w:i w:val="0"/>
          <w:iCs w:val="0"/>
          <w:caps w:val="0"/>
          <w:color w:val="333333"/>
          <w:spacing w:val="0"/>
          <w:sz w:val="32"/>
          <w:szCs w:val="32"/>
        </w:rPr>
        <w:t>202</w:t>
      </w:r>
      <w:r>
        <w:rPr>
          <w:rFonts w:hint="eastAsia" w:ascii="Times New Roman" w:hAnsi="Times New Roman" w:eastAsia="微软雅黑"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年政府信息公开工作年度报告》。本报告中所列数据统计期限</w:t>
      </w:r>
      <w:r>
        <w:rPr>
          <w:rFonts w:hint="default" w:ascii="Times New Roman" w:hAnsi="Times New Roman" w:eastAsia="方正仿宋_GBK" w:cs="Times New Roman"/>
          <w:i w:val="0"/>
          <w:iCs w:val="0"/>
          <w:caps w:val="0"/>
          <w:color w:val="333333"/>
          <w:spacing w:val="0"/>
          <w:sz w:val="32"/>
          <w:szCs w:val="32"/>
          <w:lang w:eastAsia="zh-CN"/>
        </w:rPr>
        <w:t>为</w:t>
      </w:r>
      <w:r>
        <w:rPr>
          <w:rFonts w:hint="default" w:ascii="Times New Roman" w:hAnsi="Times New Roman" w:eastAsia="微软雅黑" w:cs="Times New Roman"/>
          <w:i w:val="0"/>
          <w:iCs w:val="0"/>
          <w:caps w:val="0"/>
          <w:color w:val="333333"/>
          <w:spacing w:val="0"/>
          <w:sz w:val="32"/>
          <w:szCs w:val="32"/>
        </w:rPr>
        <w:t>202</w:t>
      </w:r>
      <w:r>
        <w:rPr>
          <w:rFonts w:hint="default" w:ascii="Times New Roman" w:hAnsi="Times New Roman" w:eastAsia="微软雅黑"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年</w:t>
      </w:r>
      <w:r>
        <w:rPr>
          <w:rFonts w:hint="default" w:ascii="Times New Roman" w:hAnsi="Times New Roman" w:eastAsia="微软雅黑" w:cs="Times New Roman"/>
          <w:i w:val="0"/>
          <w:iCs w:val="0"/>
          <w:caps w:val="0"/>
          <w:color w:val="333333"/>
          <w:spacing w:val="0"/>
          <w:sz w:val="32"/>
          <w:szCs w:val="32"/>
        </w:rPr>
        <w:t>1</w:t>
      </w:r>
      <w:r>
        <w:rPr>
          <w:rFonts w:hint="default" w:ascii="Times New Roman" w:hAnsi="Times New Roman" w:eastAsia="方正仿宋_GBK" w:cs="Times New Roman"/>
          <w:i w:val="0"/>
          <w:iCs w:val="0"/>
          <w:caps w:val="0"/>
          <w:color w:val="333333"/>
          <w:spacing w:val="0"/>
          <w:sz w:val="32"/>
          <w:szCs w:val="32"/>
        </w:rPr>
        <w:t>月</w:t>
      </w:r>
      <w:r>
        <w:rPr>
          <w:rFonts w:hint="default" w:ascii="Times New Roman" w:hAnsi="Times New Roman" w:eastAsia="微软雅黑" w:cs="Times New Roman"/>
          <w:i w:val="0"/>
          <w:iCs w:val="0"/>
          <w:caps w:val="0"/>
          <w:color w:val="333333"/>
          <w:spacing w:val="0"/>
          <w:sz w:val="32"/>
          <w:szCs w:val="32"/>
        </w:rPr>
        <w:t>1</w:t>
      </w:r>
      <w:r>
        <w:rPr>
          <w:rFonts w:hint="default" w:ascii="Times New Roman" w:hAnsi="Times New Roman" w:eastAsia="方正仿宋_GBK" w:cs="Times New Roman"/>
          <w:i w:val="0"/>
          <w:iCs w:val="0"/>
          <w:caps w:val="0"/>
          <w:color w:val="333333"/>
          <w:spacing w:val="0"/>
          <w:sz w:val="32"/>
          <w:szCs w:val="32"/>
        </w:rPr>
        <w:t>日至</w:t>
      </w:r>
      <w:r>
        <w:rPr>
          <w:rFonts w:hint="default" w:ascii="Times New Roman" w:hAnsi="Times New Roman" w:eastAsia="微软雅黑" w:cs="Times New Roman"/>
          <w:i w:val="0"/>
          <w:iCs w:val="0"/>
          <w:caps w:val="0"/>
          <w:color w:val="333333"/>
          <w:spacing w:val="0"/>
          <w:sz w:val="32"/>
          <w:szCs w:val="32"/>
        </w:rPr>
        <w:t>202</w:t>
      </w:r>
      <w:r>
        <w:rPr>
          <w:rFonts w:hint="eastAsia" w:ascii="Times New Roman" w:hAnsi="Times New Roman" w:eastAsia="微软雅黑"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年</w:t>
      </w:r>
      <w:r>
        <w:rPr>
          <w:rFonts w:hint="default" w:ascii="Times New Roman" w:hAnsi="Times New Roman" w:eastAsia="微软雅黑" w:cs="Times New Roman"/>
          <w:i w:val="0"/>
          <w:iCs w:val="0"/>
          <w:caps w:val="0"/>
          <w:color w:val="333333"/>
          <w:spacing w:val="0"/>
          <w:sz w:val="32"/>
          <w:szCs w:val="32"/>
        </w:rPr>
        <w:t>12</w:t>
      </w:r>
      <w:r>
        <w:rPr>
          <w:rFonts w:hint="default" w:ascii="Times New Roman" w:hAnsi="Times New Roman" w:eastAsia="方正仿宋_GBK" w:cs="Times New Roman"/>
          <w:i w:val="0"/>
          <w:iCs w:val="0"/>
          <w:caps w:val="0"/>
          <w:color w:val="333333"/>
          <w:spacing w:val="0"/>
          <w:sz w:val="32"/>
          <w:szCs w:val="32"/>
        </w:rPr>
        <w:t>月</w:t>
      </w:r>
      <w:r>
        <w:rPr>
          <w:rFonts w:hint="default" w:ascii="Times New Roman" w:hAnsi="Times New Roman" w:eastAsia="微软雅黑" w:cs="Times New Roman"/>
          <w:i w:val="0"/>
          <w:iCs w:val="0"/>
          <w:caps w:val="0"/>
          <w:color w:val="333333"/>
          <w:spacing w:val="0"/>
          <w:sz w:val="32"/>
          <w:szCs w:val="32"/>
        </w:rPr>
        <w:t>31</w:t>
      </w:r>
      <w:r>
        <w:rPr>
          <w:rFonts w:hint="default" w:ascii="Times New Roman" w:hAnsi="Times New Roman" w:eastAsia="方正仿宋_GBK" w:cs="Times New Roman"/>
          <w:i w:val="0"/>
          <w:iCs w:val="0"/>
          <w:caps w:val="0"/>
          <w:color w:val="333333"/>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default" w:ascii="Times New Roman" w:hAnsi="Times New Roman" w:eastAsia="方正仿宋_GBK" w:cs="Times New Roman"/>
          <w:i w:val="0"/>
          <w:iCs w:val="0"/>
          <w:caps w:val="0"/>
          <w:color w:val="333333"/>
          <w:spacing w:val="0"/>
          <w:sz w:val="32"/>
          <w:szCs w:val="32"/>
        </w:rPr>
        <w:t>202</w:t>
      </w:r>
      <w:r>
        <w:rPr>
          <w:rFonts w:hint="default" w:ascii="Times New Roman" w:hAnsi="Times New Roman" w:eastAsia="方正仿宋_GBK"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年，市统计局</w:t>
      </w:r>
      <w:r>
        <w:rPr>
          <w:rFonts w:hint="default" w:ascii="Times New Roman" w:hAnsi="Times New Roman" w:eastAsia="方正仿宋_GBK" w:cs="Times New Roman"/>
          <w:i w:val="0"/>
          <w:iCs w:val="0"/>
          <w:caps w:val="0"/>
          <w:color w:val="333333"/>
          <w:spacing w:val="0"/>
          <w:sz w:val="32"/>
          <w:szCs w:val="32"/>
          <w:lang w:eastAsia="zh-CN"/>
        </w:rPr>
        <w:t>认</w:t>
      </w:r>
      <w:r>
        <w:rPr>
          <w:rFonts w:hint="default" w:ascii="Times New Roman" w:hAnsi="Times New Roman" w:eastAsia="方正仿宋_GBK" w:cs="Times New Roman"/>
          <w:i w:val="0"/>
          <w:iCs w:val="0"/>
          <w:caps w:val="0"/>
          <w:color w:val="333333"/>
          <w:spacing w:val="0"/>
          <w:sz w:val="32"/>
          <w:szCs w:val="32"/>
        </w:rPr>
        <w:t>落实党中央、国务</w:t>
      </w:r>
      <w:r>
        <w:rPr>
          <w:rFonts w:hint="default" w:ascii="Times New Roman" w:hAnsi="Times New Roman" w:eastAsia="方正仿宋_GBK" w:cs="Times New Roman"/>
          <w:i w:val="0"/>
          <w:iCs w:val="0"/>
          <w:caps w:val="0"/>
          <w:color w:val="auto"/>
          <w:spacing w:val="0"/>
          <w:sz w:val="32"/>
          <w:szCs w:val="32"/>
        </w:rPr>
        <w:t>院关于</w:t>
      </w:r>
      <w:r>
        <w:rPr>
          <w:rFonts w:hint="default" w:ascii="Times New Roman" w:hAnsi="Times New Roman" w:eastAsia="方正仿宋_GBK" w:cs="Times New Roman"/>
          <w:i w:val="0"/>
          <w:iCs w:val="0"/>
          <w:caps w:val="0"/>
          <w:color w:val="auto"/>
          <w:spacing w:val="0"/>
          <w:sz w:val="32"/>
          <w:szCs w:val="32"/>
          <w:lang w:eastAsia="zh-CN"/>
        </w:rPr>
        <w:t>政</w:t>
      </w:r>
      <w:r>
        <w:rPr>
          <w:rFonts w:hint="eastAsia" w:ascii="Times New Roman" w:hAnsi="Times New Roman" w:eastAsia="方正仿宋_GBK" w:cs="Times New Roman"/>
          <w:i w:val="0"/>
          <w:iCs w:val="0"/>
          <w:caps w:val="0"/>
          <w:color w:val="auto"/>
          <w:spacing w:val="0"/>
          <w:sz w:val="32"/>
          <w:szCs w:val="32"/>
          <w:lang w:eastAsia="zh-CN"/>
        </w:rPr>
        <w:t>务</w:t>
      </w:r>
      <w:r>
        <w:rPr>
          <w:rFonts w:hint="default" w:ascii="Times New Roman" w:hAnsi="Times New Roman" w:eastAsia="方正仿宋_GBK" w:cs="Times New Roman"/>
          <w:i w:val="0"/>
          <w:iCs w:val="0"/>
          <w:caps w:val="0"/>
          <w:color w:val="auto"/>
          <w:spacing w:val="0"/>
          <w:sz w:val="32"/>
          <w:szCs w:val="32"/>
          <w:lang w:eastAsia="zh-CN"/>
        </w:rPr>
        <w:t>公开</w:t>
      </w:r>
      <w:r>
        <w:rPr>
          <w:rFonts w:hint="default" w:ascii="Times New Roman" w:hAnsi="Times New Roman" w:eastAsia="方正仿宋_GBK" w:cs="Times New Roman"/>
          <w:i w:val="0"/>
          <w:iCs w:val="0"/>
          <w:caps w:val="0"/>
          <w:color w:val="auto"/>
          <w:spacing w:val="0"/>
          <w:sz w:val="32"/>
          <w:szCs w:val="32"/>
        </w:rPr>
        <w:t>的</w:t>
      </w:r>
      <w:r>
        <w:rPr>
          <w:rFonts w:hint="default" w:ascii="Times New Roman" w:hAnsi="Times New Roman" w:eastAsia="方正仿宋_GBK" w:cs="Times New Roman"/>
          <w:i w:val="0"/>
          <w:iCs w:val="0"/>
          <w:caps w:val="0"/>
          <w:color w:val="333333"/>
          <w:spacing w:val="0"/>
          <w:sz w:val="32"/>
          <w:szCs w:val="32"/>
        </w:rPr>
        <w:t>决策部署，</w:t>
      </w:r>
      <w:r>
        <w:rPr>
          <w:rFonts w:hint="default" w:ascii="Times New Roman" w:hAnsi="Times New Roman" w:eastAsia="方正仿宋_GBK" w:cs="Times New Roman"/>
          <w:i w:val="0"/>
          <w:iCs w:val="0"/>
          <w:caps w:val="0"/>
          <w:color w:val="333333"/>
          <w:spacing w:val="0"/>
          <w:sz w:val="32"/>
          <w:szCs w:val="32"/>
          <w:lang w:val="en-US" w:eastAsia="zh-CN"/>
        </w:rPr>
        <w:t>在市委市政府的领导下，坚持以公开为常态、不公开为例外，积极回应社会公众关注关切，不断提升统计信息服务水平，政府信息公开工作获得新进展。全年通过网站和政务新媒体主动公开政府信息839条</w:t>
      </w:r>
      <w:r>
        <w:rPr>
          <w:rFonts w:hint="eastAsia" w:ascii="Times New Roman" w:hAnsi="Times New Roman" w:eastAsia="方正仿宋_GBK" w:cs="Times New Roman"/>
          <w:i w:val="0"/>
          <w:iCs w:val="0"/>
          <w:caps w:val="0"/>
          <w:color w:val="333333"/>
          <w:spacing w:val="0"/>
          <w:sz w:val="32"/>
          <w:szCs w:val="32"/>
          <w:lang w:val="en-US" w:eastAsia="zh-CN"/>
        </w:rPr>
        <w:t>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方正仿宋_GBK" w:cs="Times New Roman"/>
          <w:i w:val="0"/>
          <w:iCs w:val="0"/>
          <w:caps w:val="0"/>
          <w:color w:val="333333"/>
          <w:spacing w:val="0"/>
          <w:sz w:val="32"/>
          <w:szCs w:val="32"/>
          <w:lang w:val="en-US" w:eastAsia="zh-CN"/>
        </w:rPr>
      </w:pPr>
      <w:r>
        <w:rPr>
          <w:rFonts w:hint="eastAsia" w:ascii="方正楷体_GBK" w:hAnsi="方正楷体_GBK" w:eastAsia="方正楷体_GBK" w:cs="方正楷体_GBK"/>
          <w:i w:val="0"/>
          <w:iCs w:val="0"/>
          <w:caps w:val="0"/>
          <w:color w:val="333333"/>
          <w:spacing w:val="0"/>
          <w:sz w:val="32"/>
          <w:szCs w:val="32"/>
          <w:lang w:val="en-US" w:eastAsia="zh-CN"/>
        </w:rPr>
        <w:t>（一）深入推进主动公开。</w:t>
      </w:r>
      <w:r>
        <w:rPr>
          <w:rFonts w:hint="default" w:ascii="Times New Roman" w:hAnsi="Times New Roman" w:eastAsia="方正仿宋_GBK" w:cs="Times New Roman"/>
          <w:i w:val="0"/>
          <w:iCs w:val="0"/>
          <w:caps w:val="0"/>
          <w:color w:val="333333"/>
          <w:spacing w:val="0"/>
          <w:sz w:val="32"/>
          <w:szCs w:val="32"/>
          <w:lang w:val="en-US" w:eastAsia="zh-CN"/>
        </w:rPr>
        <w:t>一是突出抓好国民经济和社会发展统计信息公开。公开公报类信息13条，数据解读类信息40条，数据资料类信息12条。二是有序发布常规统计资料。2021年3月中旬发布《2020年重庆市国民经济和社会发展统计公报》，5月中旬发布《重庆市第七次全国人口普查公报》</w:t>
      </w:r>
      <w:r>
        <w:rPr>
          <w:rFonts w:hint="eastAsia" w:ascii="Times New Roman" w:hAnsi="Times New Roman" w:eastAsia="方正仿宋_GBK" w:cs="Times New Roman"/>
          <w:i w:val="0"/>
          <w:iCs w:val="0"/>
          <w:caps w:val="0"/>
          <w:color w:val="333333"/>
          <w:spacing w:val="0"/>
          <w:sz w:val="32"/>
          <w:szCs w:val="32"/>
          <w:lang w:val="en-US" w:eastAsia="zh-CN"/>
        </w:rPr>
        <w:t>，</w:t>
      </w:r>
      <w:r>
        <w:rPr>
          <w:rFonts w:hint="default" w:ascii="Times New Roman" w:hAnsi="Times New Roman" w:eastAsia="方正仿宋_GBK" w:cs="Times New Roman"/>
          <w:i w:val="0"/>
          <w:iCs w:val="0"/>
          <w:caps w:val="0"/>
          <w:color w:val="333333"/>
          <w:spacing w:val="0"/>
          <w:sz w:val="32"/>
          <w:szCs w:val="32"/>
          <w:lang w:val="en-US" w:eastAsia="zh-CN"/>
        </w:rPr>
        <w:t>6月上旬发布劳动工资数据，8月上旬出版《重庆统计年鉴（2021）》，10月上旬发布《2020年重庆市科技投入统计公报》，11月下旬会同市规划和自然资源局发布《重庆市第三次国土调查主要数据公报》</w:t>
      </w:r>
      <w:r>
        <w:rPr>
          <w:rFonts w:hint="eastAsia" w:ascii="Times New Roman" w:hAnsi="Times New Roman" w:eastAsia="方正仿宋_GBK" w:cs="Times New Roman"/>
          <w:i w:val="0"/>
          <w:iCs w:val="0"/>
          <w:caps w:val="0"/>
          <w:color w:val="333333"/>
          <w:spacing w:val="0"/>
          <w:sz w:val="32"/>
          <w:szCs w:val="32"/>
          <w:lang w:val="en-US" w:eastAsia="zh-CN"/>
        </w:rPr>
        <w:t>，</w:t>
      </w:r>
      <w:r>
        <w:rPr>
          <w:rFonts w:hint="default" w:ascii="Times New Roman" w:hAnsi="Times New Roman" w:eastAsia="方正仿宋_GBK" w:cs="Times New Roman"/>
          <w:i w:val="0"/>
          <w:iCs w:val="0"/>
          <w:caps w:val="0"/>
          <w:color w:val="333333"/>
          <w:spacing w:val="0"/>
          <w:sz w:val="32"/>
          <w:szCs w:val="32"/>
          <w:lang w:val="en-US" w:eastAsia="zh-CN"/>
        </w:rPr>
        <w:t>及时开展数据解读，第一时间宣传统计成果，回应社会关切。三是充分发挥政务新媒体优势。围绕重大规划、经济运行、普查成果、统计改革等重点热点内容编发微博信息332条、统计微信314期</w:t>
      </w:r>
      <w:r>
        <w:rPr>
          <w:rFonts w:hint="eastAsia" w:ascii="Times New Roman" w:hAnsi="Times New Roman" w:eastAsia="方正仿宋_GBK" w:cs="Times New Roman"/>
          <w:i w:val="0"/>
          <w:iCs w:val="0"/>
          <w:caps w:val="0"/>
          <w:color w:val="333333"/>
          <w:spacing w:val="0"/>
          <w:sz w:val="32"/>
          <w:szCs w:val="32"/>
          <w:lang w:val="en-US" w:eastAsia="zh-CN"/>
        </w:rPr>
        <w:t>。</w:t>
      </w:r>
      <w:r>
        <w:rPr>
          <w:rFonts w:hint="default" w:ascii="Times New Roman" w:hAnsi="Times New Roman" w:eastAsia="方正仿宋_GBK" w:cs="Times New Roman"/>
          <w:i w:val="0"/>
          <w:iCs w:val="0"/>
          <w:caps w:val="0"/>
          <w:color w:val="333333"/>
          <w:spacing w:val="0"/>
          <w:sz w:val="32"/>
          <w:szCs w:val="32"/>
          <w:lang w:val="en-US" w:eastAsia="zh-CN"/>
        </w:rPr>
        <w:t>每月通过“重庆数据”网站和“数据重庆”APP及时更新主要统计数据，为社会公众提供及时、优质、多渠道的统计</w:t>
      </w:r>
      <w:r>
        <w:rPr>
          <w:rFonts w:hint="eastAsia" w:ascii="Times New Roman" w:hAnsi="Times New Roman" w:eastAsia="方正仿宋_GBK" w:cs="Times New Roman"/>
          <w:i w:val="0"/>
          <w:iCs w:val="0"/>
          <w:caps w:val="0"/>
          <w:color w:val="333333"/>
          <w:spacing w:val="0"/>
          <w:sz w:val="32"/>
          <w:szCs w:val="32"/>
          <w:lang w:val="en-US" w:eastAsia="zh-CN"/>
        </w:rPr>
        <w:t>数据</w:t>
      </w:r>
      <w:r>
        <w:rPr>
          <w:rFonts w:hint="default" w:ascii="Times New Roman" w:hAnsi="Times New Roman" w:eastAsia="方正仿宋_GBK" w:cs="Times New Roman"/>
          <w:i w:val="0"/>
          <w:iCs w:val="0"/>
          <w:caps w:val="0"/>
          <w:color w:val="333333"/>
          <w:spacing w:val="0"/>
          <w:sz w:val="32"/>
          <w:szCs w:val="32"/>
          <w:lang w:val="en-US" w:eastAsia="zh-CN"/>
        </w:rPr>
        <w:t>服务。</w:t>
      </w:r>
      <w:r>
        <w:rPr>
          <w:rFonts w:hint="eastAsia" w:ascii="Times New Roman" w:hAnsi="Times New Roman" w:eastAsia="方正仿宋_GBK" w:cs="Times New Roman"/>
          <w:i w:val="0"/>
          <w:iCs w:val="0"/>
          <w:caps w:val="0"/>
          <w:color w:val="333333"/>
          <w:spacing w:val="0"/>
          <w:sz w:val="32"/>
          <w:szCs w:val="32"/>
          <w:lang w:val="en-US" w:eastAsia="zh-CN"/>
        </w:rPr>
        <w:t>四是</w:t>
      </w:r>
      <w:r>
        <w:rPr>
          <w:rFonts w:hint="default" w:ascii="Times New Roman" w:hAnsi="Times New Roman" w:eastAsia="方正仿宋_GBK" w:cs="Times New Roman"/>
          <w:i w:val="0"/>
          <w:iCs w:val="0"/>
          <w:caps w:val="0"/>
          <w:color w:val="333333"/>
          <w:spacing w:val="0"/>
          <w:sz w:val="32"/>
          <w:szCs w:val="32"/>
          <w:lang w:val="en-US" w:eastAsia="zh-CN"/>
        </w:rPr>
        <w:t>持续做好新闻发布工作。6次参加市政府新闻发布会，发布全市第七次全国人口普查主要数据成果、第三次国土调查主要数据成果和</w:t>
      </w:r>
      <w:r>
        <w:rPr>
          <w:rFonts w:hint="eastAsia" w:ascii="Times New Roman" w:hAnsi="Times New Roman" w:eastAsia="方正仿宋_GBK" w:cs="Times New Roman"/>
          <w:i w:val="0"/>
          <w:iCs w:val="0"/>
          <w:caps w:val="0"/>
          <w:color w:val="333333"/>
          <w:spacing w:val="0"/>
          <w:sz w:val="32"/>
          <w:szCs w:val="32"/>
          <w:lang w:val="en-US" w:eastAsia="zh-CN"/>
        </w:rPr>
        <w:t>各季度全市</w:t>
      </w:r>
      <w:r>
        <w:rPr>
          <w:rFonts w:hint="default" w:ascii="Times New Roman" w:hAnsi="Times New Roman" w:eastAsia="方正仿宋_GBK" w:cs="Times New Roman"/>
          <w:i w:val="0"/>
          <w:iCs w:val="0"/>
          <w:caps w:val="0"/>
          <w:color w:val="333333"/>
          <w:spacing w:val="0"/>
          <w:sz w:val="32"/>
          <w:szCs w:val="32"/>
          <w:lang w:val="en-US" w:eastAsia="zh-CN"/>
        </w:rPr>
        <w:t>经济运行情况，连续两年被市委宣传部、市政府新闻办评为全市新闻发布优秀单位。除此之外，市统计局根据实际情况，及时动态更新并公开政策文件、机构职能、办事服务、财政、公务员招录等</w:t>
      </w:r>
      <w:r>
        <w:rPr>
          <w:rFonts w:hint="default" w:ascii="Times New Roman" w:hAnsi="Times New Roman" w:eastAsia="方正仿宋_GBK" w:cs="Times New Roman"/>
          <w:i w:val="0"/>
          <w:iCs w:val="0"/>
          <w:caps w:val="0"/>
          <w:color w:val="333333"/>
          <w:spacing w:val="0"/>
          <w:sz w:val="32"/>
          <w:szCs w:val="32"/>
          <w:lang w:val="en" w:eastAsia="zh-CN"/>
        </w:rPr>
        <w:t>信息</w:t>
      </w:r>
      <w:r>
        <w:rPr>
          <w:rFonts w:hint="default" w:ascii="Times New Roman" w:hAnsi="Times New Roman" w:eastAsia="方正仿宋_GBK" w:cs="Times New Roman"/>
          <w:i w:val="0"/>
          <w:iCs w:val="0"/>
          <w:caps w:val="0"/>
          <w:color w:val="333333"/>
          <w:spacing w:val="0"/>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rPr>
        <w:t>（</w:t>
      </w:r>
      <w:r>
        <w:rPr>
          <w:rFonts w:hint="default" w:ascii="Times New Roman" w:hAnsi="Times New Roman" w:eastAsia="方正楷体_GBK" w:cs="Times New Roman"/>
          <w:i w:val="0"/>
          <w:iCs w:val="0"/>
          <w:caps w:val="0"/>
          <w:color w:val="333333"/>
          <w:spacing w:val="0"/>
          <w:sz w:val="32"/>
          <w:szCs w:val="32"/>
          <w:lang w:eastAsia="zh-CN"/>
        </w:rPr>
        <w:t>二</w:t>
      </w:r>
      <w:r>
        <w:rPr>
          <w:rFonts w:hint="default" w:ascii="Times New Roman" w:hAnsi="Times New Roman" w:eastAsia="方正楷体_GBK" w:cs="Times New Roman"/>
          <w:i w:val="0"/>
          <w:iCs w:val="0"/>
          <w:caps w:val="0"/>
          <w:color w:val="333333"/>
          <w:spacing w:val="0"/>
          <w:sz w:val="32"/>
          <w:szCs w:val="32"/>
        </w:rPr>
        <w:t>）</w:t>
      </w:r>
      <w:r>
        <w:rPr>
          <w:rFonts w:hint="default" w:ascii="Times New Roman" w:hAnsi="Times New Roman" w:eastAsia="方正楷体_GBK" w:cs="Times New Roman"/>
          <w:i w:val="0"/>
          <w:iCs w:val="0"/>
          <w:caps w:val="0"/>
          <w:color w:val="333333"/>
          <w:spacing w:val="0"/>
          <w:sz w:val="32"/>
          <w:szCs w:val="32"/>
          <w:lang w:eastAsia="zh-CN"/>
        </w:rPr>
        <w:t>着力抓好依申请公开</w:t>
      </w:r>
      <w:r>
        <w:rPr>
          <w:rFonts w:hint="default" w:ascii="Times New Roman" w:hAnsi="Times New Roman" w:eastAsia="方正楷体_GBK" w:cs="Times New Roman"/>
          <w:i w:val="0"/>
          <w:iCs w:val="0"/>
          <w:caps w:val="0"/>
          <w:color w:val="333333"/>
          <w:spacing w:val="0"/>
          <w:sz w:val="32"/>
          <w:szCs w:val="32"/>
        </w:rPr>
        <w:t>。</w:t>
      </w:r>
      <w:r>
        <w:rPr>
          <w:rFonts w:hint="default" w:ascii="Times New Roman" w:hAnsi="Times New Roman" w:eastAsia="方正仿宋_GBK" w:cs="Times New Roman"/>
          <w:i w:val="0"/>
          <w:iCs w:val="0"/>
          <w:caps w:val="0"/>
          <w:color w:val="333333"/>
          <w:spacing w:val="0"/>
          <w:sz w:val="32"/>
          <w:szCs w:val="32"/>
          <w:lang w:eastAsia="zh-CN"/>
        </w:rPr>
        <w:t>修订</w:t>
      </w:r>
      <w:r>
        <w:rPr>
          <w:rFonts w:hint="default" w:ascii="Times New Roman" w:hAnsi="Times New Roman" w:eastAsia="方正仿宋_GBK" w:cs="Times New Roman"/>
          <w:i w:val="0"/>
          <w:iCs w:val="0"/>
          <w:caps w:val="0"/>
          <w:color w:val="333333"/>
          <w:spacing w:val="0"/>
          <w:sz w:val="32"/>
          <w:szCs w:val="32"/>
        </w:rPr>
        <w:t>《重庆市统计局信息公开指南》，及时</w:t>
      </w:r>
      <w:r>
        <w:rPr>
          <w:rFonts w:hint="default" w:ascii="Times New Roman" w:hAnsi="Times New Roman" w:eastAsia="方正仿宋_GBK" w:cs="Times New Roman"/>
          <w:i w:val="0"/>
          <w:iCs w:val="0"/>
          <w:caps w:val="0"/>
          <w:color w:val="333333"/>
          <w:spacing w:val="0"/>
          <w:sz w:val="32"/>
          <w:szCs w:val="32"/>
          <w:lang w:eastAsia="zh-CN"/>
        </w:rPr>
        <w:t>更新接收渠道、注意事项和收费标准信息，为</w:t>
      </w:r>
      <w:r>
        <w:rPr>
          <w:rFonts w:hint="default" w:ascii="Times New Roman" w:hAnsi="Times New Roman" w:eastAsia="方正仿宋_GBK" w:cs="Times New Roman"/>
          <w:i w:val="0"/>
          <w:iCs w:val="0"/>
          <w:caps w:val="0"/>
          <w:color w:val="333333"/>
          <w:spacing w:val="0"/>
          <w:sz w:val="32"/>
          <w:szCs w:val="32"/>
        </w:rPr>
        <w:t>社会公众</w:t>
      </w:r>
      <w:r>
        <w:rPr>
          <w:rFonts w:hint="default" w:ascii="Times New Roman" w:hAnsi="Times New Roman" w:eastAsia="方正仿宋_GBK" w:cs="Times New Roman"/>
          <w:i w:val="0"/>
          <w:iCs w:val="0"/>
          <w:caps w:val="0"/>
          <w:color w:val="333333"/>
          <w:spacing w:val="0"/>
          <w:sz w:val="32"/>
          <w:szCs w:val="32"/>
          <w:lang w:eastAsia="zh-CN"/>
        </w:rPr>
        <w:t>提供明确的政府信息公开申请指引</w:t>
      </w:r>
      <w:r>
        <w:rPr>
          <w:rFonts w:hint="eastAsia" w:ascii="Times New Roman" w:hAnsi="Times New Roman" w:eastAsia="方正仿宋_GBK" w:cs="Times New Roman"/>
          <w:i w:val="0"/>
          <w:iCs w:val="0"/>
          <w:caps w:val="0"/>
          <w:color w:val="333333"/>
          <w:spacing w:val="0"/>
          <w:sz w:val="32"/>
          <w:szCs w:val="32"/>
          <w:lang w:eastAsia="zh-CN"/>
        </w:rPr>
        <w:t>。</w:t>
      </w:r>
      <w:r>
        <w:rPr>
          <w:rFonts w:hint="default" w:ascii="Times New Roman" w:hAnsi="Times New Roman" w:eastAsia="方正仿宋_GBK" w:cs="Times New Roman"/>
          <w:i w:val="0"/>
          <w:iCs w:val="0"/>
          <w:caps w:val="0"/>
          <w:color w:val="333333"/>
          <w:spacing w:val="0"/>
          <w:sz w:val="32"/>
          <w:szCs w:val="32"/>
          <w:lang w:eastAsia="zh-CN"/>
        </w:rPr>
        <w:t>严格落实依申请公开工作制度，加强申请审核、内容审核和答复审核，</w:t>
      </w:r>
      <w:r>
        <w:rPr>
          <w:rFonts w:hint="eastAsia" w:ascii="Times New Roman" w:hAnsi="Times New Roman" w:eastAsia="方正仿宋_GBK" w:cs="Times New Roman"/>
          <w:i w:val="0"/>
          <w:iCs w:val="0"/>
          <w:caps w:val="0"/>
          <w:color w:val="333333"/>
          <w:spacing w:val="0"/>
          <w:sz w:val="32"/>
          <w:szCs w:val="32"/>
          <w:lang w:eastAsia="zh-CN"/>
        </w:rPr>
        <w:t>确保办理及时、内容合法、答复规范。</w:t>
      </w:r>
      <w:r>
        <w:rPr>
          <w:rFonts w:hint="default" w:ascii="Times New Roman" w:hAnsi="Times New Roman" w:eastAsia="方正仿宋_GBK" w:cs="Times New Roman"/>
          <w:i w:val="0"/>
          <w:iCs w:val="0"/>
          <w:caps w:val="0"/>
          <w:color w:val="333333"/>
          <w:spacing w:val="0"/>
          <w:sz w:val="32"/>
          <w:szCs w:val="32"/>
        </w:rPr>
        <w:t>通过电话、电子邮件、微信等联系方式，及时作出补正，指导填写申请，耐心细致反馈，</w:t>
      </w:r>
      <w:r>
        <w:rPr>
          <w:rFonts w:hint="eastAsia" w:ascii="Times New Roman" w:hAnsi="Times New Roman" w:eastAsia="方正仿宋_GBK" w:cs="Times New Roman"/>
          <w:i w:val="0"/>
          <w:iCs w:val="0"/>
          <w:caps w:val="0"/>
          <w:color w:val="333333"/>
          <w:spacing w:val="0"/>
          <w:sz w:val="32"/>
          <w:szCs w:val="32"/>
          <w:lang w:eastAsia="zh-CN"/>
        </w:rPr>
        <w:t>不断</w:t>
      </w:r>
      <w:r>
        <w:rPr>
          <w:rFonts w:hint="default" w:ascii="Times New Roman" w:hAnsi="Times New Roman" w:eastAsia="方正仿宋_GBK" w:cs="Times New Roman"/>
          <w:i w:val="0"/>
          <w:iCs w:val="0"/>
          <w:caps w:val="0"/>
          <w:color w:val="333333"/>
          <w:spacing w:val="0"/>
          <w:sz w:val="32"/>
          <w:szCs w:val="32"/>
        </w:rPr>
        <w:t>提高</w:t>
      </w:r>
      <w:r>
        <w:rPr>
          <w:rFonts w:hint="eastAsia" w:ascii="Times New Roman" w:hAnsi="Times New Roman" w:eastAsia="方正仿宋_GBK" w:cs="Times New Roman"/>
          <w:i w:val="0"/>
          <w:iCs w:val="0"/>
          <w:caps w:val="0"/>
          <w:color w:val="333333"/>
          <w:spacing w:val="0"/>
          <w:sz w:val="32"/>
          <w:szCs w:val="32"/>
          <w:lang w:eastAsia="zh-CN"/>
        </w:rPr>
        <w:t>依申请公开</w:t>
      </w:r>
      <w:r>
        <w:rPr>
          <w:rFonts w:hint="default" w:ascii="Times New Roman" w:hAnsi="Times New Roman" w:eastAsia="方正仿宋_GBK" w:cs="Times New Roman"/>
          <w:i w:val="0"/>
          <w:iCs w:val="0"/>
          <w:caps w:val="0"/>
          <w:color w:val="333333"/>
          <w:spacing w:val="0"/>
          <w:sz w:val="32"/>
          <w:szCs w:val="32"/>
        </w:rPr>
        <w:t>服务</w:t>
      </w:r>
      <w:r>
        <w:rPr>
          <w:rFonts w:hint="eastAsia" w:ascii="Times New Roman" w:hAnsi="Times New Roman" w:eastAsia="方正仿宋_GBK" w:cs="Times New Roman"/>
          <w:i w:val="0"/>
          <w:iCs w:val="0"/>
          <w:caps w:val="0"/>
          <w:color w:val="333333"/>
          <w:spacing w:val="0"/>
          <w:sz w:val="32"/>
          <w:szCs w:val="32"/>
          <w:lang w:eastAsia="zh-CN"/>
        </w:rPr>
        <w:t>水平</w:t>
      </w:r>
      <w:r>
        <w:rPr>
          <w:rFonts w:hint="default" w:ascii="Times New Roman" w:hAnsi="Times New Roman" w:eastAsia="方正仿宋_GBK" w:cs="Times New Roman"/>
          <w:i w:val="0"/>
          <w:iCs w:val="0"/>
          <w:caps w:val="0"/>
          <w:color w:val="333333"/>
          <w:spacing w:val="0"/>
          <w:sz w:val="32"/>
          <w:szCs w:val="32"/>
        </w:rPr>
        <w:t>。</w:t>
      </w:r>
      <w:r>
        <w:rPr>
          <w:rFonts w:hint="default" w:ascii="Times New Roman" w:hAnsi="Times New Roman" w:eastAsia="微软雅黑" w:cs="Times New Roman"/>
          <w:i w:val="0"/>
          <w:iCs w:val="0"/>
          <w:caps w:val="0"/>
          <w:color w:val="333333"/>
          <w:spacing w:val="0"/>
          <w:sz w:val="32"/>
          <w:szCs w:val="32"/>
        </w:rPr>
        <w:t>202</w:t>
      </w:r>
      <w:r>
        <w:rPr>
          <w:rFonts w:hint="eastAsia" w:ascii="Times New Roman" w:hAnsi="Times New Roman" w:eastAsia="微软雅黑"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年，市统计局共收到</w:t>
      </w:r>
      <w:r>
        <w:rPr>
          <w:rFonts w:hint="eastAsia" w:ascii="Times New Roman" w:hAnsi="Times New Roman" w:eastAsia="方正仿宋_GBK" w:cs="Times New Roman"/>
          <w:i w:val="0"/>
          <w:iCs w:val="0"/>
          <w:caps w:val="0"/>
          <w:color w:val="333333"/>
          <w:spacing w:val="0"/>
          <w:sz w:val="32"/>
          <w:szCs w:val="32"/>
          <w:lang w:eastAsia="zh-CN"/>
        </w:rPr>
        <w:t>和处理</w:t>
      </w:r>
      <w:r>
        <w:rPr>
          <w:rFonts w:hint="default" w:ascii="Times New Roman" w:hAnsi="Times New Roman" w:eastAsia="方正仿宋_GBK" w:cs="Times New Roman"/>
          <w:i w:val="0"/>
          <w:iCs w:val="0"/>
          <w:caps w:val="0"/>
          <w:color w:val="333333"/>
          <w:spacing w:val="0"/>
          <w:sz w:val="32"/>
          <w:szCs w:val="32"/>
        </w:rPr>
        <w:t>政府信息公开申请</w:t>
      </w:r>
      <w:r>
        <w:rPr>
          <w:rFonts w:hint="default" w:ascii="Times New Roman" w:hAnsi="Times New Roman" w:eastAsia="微软雅黑" w:cs="Times New Roman"/>
          <w:i w:val="0"/>
          <w:iCs w:val="0"/>
          <w:caps w:val="0"/>
          <w:color w:val="333333"/>
          <w:spacing w:val="0"/>
          <w:sz w:val="32"/>
          <w:szCs w:val="32"/>
        </w:rPr>
        <w:t>2</w:t>
      </w:r>
      <w:r>
        <w:rPr>
          <w:rFonts w:hint="eastAsia" w:ascii="Times New Roman" w:hAnsi="Times New Roman" w:eastAsia="微软雅黑" w:cs="Times New Roman"/>
          <w:i w:val="0"/>
          <w:iCs w:val="0"/>
          <w:caps w:val="0"/>
          <w:color w:val="333333"/>
          <w:spacing w:val="0"/>
          <w:sz w:val="32"/>
          <w:szCs w:val="32"/>
          <w:lang w:val="en-US" w:eastAsia="zh-CN"/>
        </w:rPr>
        <w:t>6</w:t>
      </w:r>
      <w:r>
        <w:rPr>
          <w:rFonts w:hint="default" w:ascii="Times New Roman" w:hAnsi="Times New Roman" w:eastAsia="方正仿宋_GBK" w:cs="Times New Roman"/>
          <w:i w:val="0"/>
          <w:iCs w:val="0"/>
          <w:caps w:val="0"/>
          <w:color w:val="333333"/>
          <w:spacing w:val="0"/>
          <w:sz w:val="32"/>
          <w:szCs w:val="32"/>
        </w:rPr>
        <w:t>件，均无行政复议和行政诉讼情况。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r>
        <w:rPr>
          <w:rFonts w:hint="default" w:ascii="Times New Roman" w:hAnsi="Times New Roman" w:eastAsia="方正楷体_GBK" w:cs="Times New Roman"/>
          <w:i w:val="0"/>
          <w:iCs w:val="0"/>
          <w:caps w:val="0"/>
          <w:color w:val="333333"/>
          <w:spacing w:val="0"/>
          <w:sz w:val="32"/>
          <w:szCs w:val="32"/>
        </w:rPr>
        <w:t>（</w:t>
      </w:r>
      <w:r>
        <w:rPr>
          <w:rFonts w:hint="eastAsia" w:ascii="Times New Roman" w:hAnsi="Times New Roman" w:eastAsia="方正楷体_GBK" w:cs="Times New Roman"/>
          <w:i w:val="0"/>
          <w:iCs w:val="0"/>
          <w:caps w:val="0"/>
          <w:color w:val="333333"/>
          <w:spacing w:val="0"/>
          <w:sz w:val="32"/>
          <w:szCs w:val="32"/>
          <w:lang w:eastAsia="zh-CN"/>
        </w:rPr>
        <w:t>三</w:t>
      </w:r>
      <w:r>
        <w:rPr>
          <w:rFonts w:hint="default" w:ascii="Times New Roman" w:hAnsi="Times New Roman" w:eastAsia="方正楷体_GBK" w:cs="Times New Roman"/>
          <w:i w:val="0"/>
          <w:iCs w:val="0"/>
          <w:caps w:val="0"/>
          <w:color w:val="333333"/>
          <w:spacing w:val="0"/>
          <w:sz w:val="32"/>
          <w:szCs w:val="32"/>
        </w:rPr>
        <w:t>）</w:t>
      </w:r>
      <w:r>
        <w:rPr>
          <w:rFonts w:hint="eastAsia" w:ascii="Times New Roman" w:hAnsi="Times New Roman" w:eastAsia="方正楷体_GBK" w:cs="Times New Roman"/>
          <w:i w:val="0"/>
          <w:iCs w:val="0"/>
          <w:caps w:val="0"/>
          <w:color w:val="333333"/>
          <w:spacing w:val="0"/>
          <w:sz w:val="32"/>
          <w:szCs w:val="32"/>
          <w:lang w:eastAsia="zh-CN"/>
        </w:rPr>
        <w:t>切实</w:t>
      </w:r>
      <w:r>
        <w:rPr>
          <w:rFonts w:hint="default" w:ascii="Times New Roman" w:hAnsi="Times New Roman" w:eastAsia="方正楷体_GBK" w:cs="Times New Roman"/>
          <w:i w:val="0"/>
          <w:iCs w:val="0"/>
          <w:caps w:val="0"/>
          <w:color w:val="333333"/>
          <w:spacing w:val="0"/>
          <w:sz w:val="32"/>
          <w:szCs w:val="32"/>
        </w:rPr>
        <w:t>加强信息管理。</w:t>
      </w:r>
      <w:r>
        <w:rPr>
          <w:rFonts w:hint="eastAsia" w:ascii="Times New Roman" w:hAnsi="Times New Roman" w:eastAsia="方正仿宋_GBK" w:cs="Times New Roman"/>
          <w:i w:val="0"/>
          <w:iCs w:val="0"/>
          <w:caps w:val="0"/>
          <w:color w:val="333333"/>
          <w:spacing w:val="0"/>
          <w:kern w:val="0"/>
          <w:sz w:val="32"/>
          <w:szCs w:val="32"/>
          <w:lang w:val="en-US" w:eastAsia="zh-CN" w:bidi="ar"/>
        </w:rPr>
        <w:t>制定实施</w:t>
      </w:r>
      <w:r>
        <w:rPr>
          <w:rFonts w:hint="default" w:ascii="Times New Roman" w:hAnsi="Times New Roman" w:eastAsia="方正仿宋_GBK" w:cs="Times New Roman"/>
          <w:i w:val="0"/>
          <w:iCs w:val="0"/>
          <w:caps w:val="0"/>
          <w:color w:val="333333"/>
          <w:spacing w:val="0"/>
          <w:kern w:val="0"/>
          <w:sz w:val="32"/>
          <w:szCs w:val="32"/>
          <w:lang w:val="en-US" w:eastAsia="zh-CN" w:bidi="ar"/>
        </w:rPr>
        <w:t>《重庆市统计局公文公开属性源头认定</w:t>
      </w:r>
      <w:r>
        <w:rPr>
          <w:rFonts w:hint="eastAsia" w:ascii="Times New Roman" w:hAnsi="Times New Roman" w:eastAsia="方正仿宋_GBK" w:cs="Times New Roman"/>
          <w:i w:val="0"/>
          <w:iCs w:val="0"/>
          <w:caps w:val="0"/>
          <w:color w:val="333333"/>
          <w:spacing w:val="0"/>
          <w:kern w:val="0"/>
          <w:sz w:val="32"/>
          <w:szCs w:val="32"/>
          <w:lang w:val="en-US" w:eastAsia="zh-CN" w:bidi="ar"/>
        </w:rPr>
        <w:t>工作办法</w:t>
      </w:r>
      <w:r>
        <w:rPr>
          <w:rFonts w:hint="default" w:ascii="Times New Roman" w:hAnsi="Times New Roman" w:eastAsia="方正仿宋_GBK" w:cs="Times New Roman"/>
          <w:i w:val="0"/>
          <w:iCs w:val="0"/>
          <w:caps w:val="0"/>
          <w:color w:val="333333"/>
          <w:spacing w:val="0"/>
          <w:kern w:val="0"/>
          <w:sz w:val="32"/>
          <w:szCs w:val="32"/>
          <w:lang w:val="en-US" w:eastAsia="zh-CN" w:bidi="ar"/>
        </w:rPr>
        <w:t>》，</w:t>
      </w:r>
      <w:r>
        <w:rPr>
          <w:rFonts w:hint="eastAsia" w:ascii="Times New Roman" w:hAnsi="Times New Roman" w:eastAsia="方正仿宋_GBK" w:cs="Times New Roman"/>
          <w:i w:val="0"/>
          <w:iCs w:val="0"/>
          <w:caps w:val="0"/>
          <w:color w:val="333333"/>
          <w:spacing w:val="0"/>
          <w:kern w:val="0"/>
          <w:sz w:val="32"/>
          <w:szCs w:val="32"/>
          <w:lang w:val="en-US" w:eastAsia="zh-CN" w:bidi="ar"/>
        </w:rPr>
        <w:t>并在</w:t>
      </w:r>
      <w:r>
        <w:rPr>
          <w:rFonts w:hint="default" w:ascii="Times New Roman" w:hAnsi="Times New Roman" w:eastAsia="方正仿宋_GBK" w:cs="Times New Roman"/>
          <w:i w:val="0"/>
          <w:iCs w:val="0"/>
          <w:caps w:val="0"/>
          <w:color w:val="333333"/>
          <w:spacing w:val="0"/>
          <w:kern w:val="0"/>
          <w:sz w:val="32"/>
          <w:szCs w:val="32"/>
          <w:lang w:val="en-US" w:eastAsia="zh-CN" w:bidi="ar"/>
        </w:rPr>
        <w:t>局OA办公系统</w:t>
      </w:r>
      <w:r>
        <w:rPr>
          <w:rFonts w:hint="eastAsia" w:ascii="Times New Roman" w:hAnsi="Times New Roman" w:eastAsia="方正仿宋_GBK" w:cs="Times New Roman"/>
          <w:i w:val="0"/>
          <w:iCs w:val="0"/>
          <w:caps w:val="0"/>
          <w:color w:val="333333"/>
          <w:spacing w:val="0"/>
          <w:kern w:val="0"/>
          <w:sz w:val="32"/>
          <w:szCs w:val="32"/>
          <w:lang w:val="en-US" w:eastAsia="zh-CN" w:bidi="ar"/>
        </w:rPr>
        <w:t>局发文拟文笺中设置公开属性认定项目，有效提升公文起草认定意识和效率。对照行政法规、国务院部门规章和市政府规章的正式版本，及时更新完善履职依据。认真做好规范性文件清理工作。严格落实《国务院办公厅关于加强行政规范性文件制定和监督管理工作的通知》，本年度规范性文件公开征求意见2个，新制发规范性文件2个并通过图文、视频等形式进行解读，废止规范性文件1个。全部规范性文件都按照“现行有效”和“失效/废止”进行分类展示，并提供下载功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iCs w:val="0"/>
          <w:caps w:val="0"/>
          <w:color w:val="333333"/>
          <w:spacing w:val="0"/>
          <w:kern w:val="0"/>
          <w:sz w:val="32"/>
          <w:szCs w:val="32"/>
          <w:lang w:val="en-US" w:eastAsia="zh-CN" w:bidi="ar"/>
        </w:rPr>
      </w:pPr>
      <w:r>
        <w:rPr>
          <w:rFonts w:hint="eastAsia" w:ascii="方正楷体_GBK" w:hAnsi="方正楷体_GBK" w:eastAsia="方正楷体_GBK" w:cs="方正楷体_GBK"/>
          <w:i w:val="0"/>
          <w:iCs w:val="0"/>
          <w:caps w:val="0"/>
          <w:color w:val="333333"/>
          <w:spacing w:val="0"/>
          <w:kern w:val="0"/>
          <w:sz w:val="32"/>
          <w:szCs w:val="32"/>
          <w:lang w:val="en-US" w:eastAsia="zh-CN" w:bidi="ar"/>
        </w:rPr>
        <w:t>（四）提升平台建管水平。</w:t>
      </w:r>
      <w:r>
        <w:rPr>
          <w:rFonts w:hint="eastAsia" w:ascii="Times New Roman" w:hAnsi="Times New Roman" w:eastAsia="方正仿宋_GBK" w:cs="Times New Roman"/>
          <w:i w:val="0"/>
          <w:iCs w:val="0"/>
          <w:caps w:val="0"/>
          <w:color w:val="333333"/>
          <w:spacing w:val="0"/>
          <w:kern w:val="0"/>
          <w:sz w:val="32"/>
          <w:szCs w:val="32"/>
          <w:lang w:val="en-US" w:eastAsia="zh-CN" w:bidi="ar"/>
        </w:rPr>
        <w:t>一是规范信息发布工作。按时在网站、发布库、APP加载最新统计数据，按计划发布统计产品，保证统计信息有序公开、统一管理。二是加强政府网站管理。组建政府网站技术运维和内容运维团队，保障政府网站安全稳定高效运行。优化政府网站手机适配版，不断提升政府信息获取的便捷性。三是抓好新媒体平台建设。优化完善平台功能，注重提前谋划，增强时效性、可用性与互动性。提高发布频次，重要工作在发布日、节假日中均有推送。社会关注度日益提高，多则微讯信息、1则抖音信息的浏览数破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r>
        <w:rPr>
          <w:rFonts w:hint="default" w:ascii="方正楷体_GBK" w:hAnsi="方正楷体_GBK" w:eastAsia="方正楷体_GBK" w:cs="方正楷体_GBK"/>
          <w:i w:val="0"/>
          <w:iCs w:val="0"/>
          <w:caps w:val="0"/>
          <w:color w:val="333333"/>
          <w:spacing w:val="0"/>
          <w:kern w:val="0"/>
          <w:sz w:val="32"/>
          <w:szCs w:val="32"/>
          <w:lang w:val="en-US" w:eastAsia="zh-CN" w:bidi="ar"/>
        </w:rPr>
        <w:t>（</w:t>
      </w:r>
      <w:r>
        <w:rPr>
          <w:rFonts w:hint="eastAsia" w:ascii="方正楷体_GBK" w:hAnsi="方正楷体_GBK" w:eastAsia="方正楷体_GBK" w:cs="方正楷体_GBK"/>
          <w:i w:val="0"/>
          <w:iCs w:val="0"/>
          <w:caps w:val="0"/>
          <w:color w:val="333333"/>
          <w:spacing w:val="0"/>
          <w:kern w:val="0"/>
          <w:sz w:val="32"/>
          <w:szCs w:val="32"/>
          <w:lang w:val="en-US" w:eastAsia="zh-CN" w:bidi="ar"/>
        </w:rPr>
        <w:t>五</w:t>
      </w:r>
      <w:r>
        <w:rPr>
          <w:rFonts w:hint="default" w:ascii="方正楷体_GBK" w:hAnsi="方正楷体_GBK" w:eastAsia="方正楷体_GBK" w:cs="方正楷体_GBK"/>
          <w:i w:val="0"/>
          <w:iCs w:val="0"/>
          <w:caps w:val="0"/>
          <w:color w:val="333333"/>
          <w:spacing w:val="0"/>
          <w:kern w:val="0"/>
          <w:sz w:val="32"/>
          <w:szCs w:val="32"/>
          <w:lang w:val="en-US" w:eastAsia="zh-CN" w:bidi="ar"/>
        </w:rPr>
        <w:t>）</w:t>
      </w:r>
      <w:r>
        <w:rPr>
          <w:rFonts w:hint="eastAsia" w:ascii="方正楷体_GBK" w:hAnsi="方正楷体_GBK" w:eastAsia="方正楷体_GBK" w:cs="方正楷体_GBK"/>
          <w:i w:val="0"/>
          <w:iCs w:val="0"/>
          <w:caps w:val="0"/>
          <w:color w:val="333333"/>
          <w:spacing w:val="0"/>
          <w:kern w:val="0"/>
          <w:sz w:val="32"/>
          <w:szCs w:val="32"/>
          <w:lang w:val="en-US" w:eastAsia="zh-CN" w:bidi="ar"/>
        </w:rPr>
        <w:t>不断</w:t>
      </w:r>
      <w:r>
        <w:rPr>
          <w:rFonts w:hint="default" w:ascii="方正楷体_GBK" w:hAnsi="方正楷体_GBK" w:eastAsia="方正楷体_GBK" w:cs="方正楷体_GBK"/>
          <w:i w:val="0"/>
          <w:iCs w:val="0"/>
          <w:caps w:val="0"/>
          <w:color w:val="333333"/>
          <w:spacing w:val="0"/>
          <w:kern w:val="0"/>
          <w:sz w:val="32"/>
          <w:szCs w:val="32"/>
          <w:lang w:val="en-US" w:eastAsia="zh-CN" w:bidi="ar"/>
        </w:rPr>
        <w:t>强化监督保障。</w:t>
      </w:r>
      <w:r>
        <w:rPr>
          <w:rFonts w:hint="default" w:ascii="Times New Roman" w:hAnsi="Times New Roman" w:eastAsia="方正仿宋_GBK" w:cs="Times New Roman"/>
          <w:i w:val="0"/>
          <w:iCs w:val="0"/>
          <w:caps w:val="0"/>
          <w:color w:val="333333"/>
          <w:spacing w:val="0"/>
          <w:kern w:val="0"/>
          <w:sz w:val="32"/>
          <w:szCs w:val="32"/>
          <w:lang w:val="en-US" w:eastAsia="zh-CN" w:bidi="ar"/>
        </w:rPr>
        <w:t>一是</w:t>
      </w:r>
      <w:r>
        <w:rPr>
          <w:rFonts w:hint="eastAsia" w:ascii="Times New Roman" w:hAnsi="Times New Roman" w:eastAsia="方正仿宋_GBK" w:cs="Times New Roman"/>
          <w:i w:val="0"/>
          <w:iCs w:val="0"/>
          <w:caps w:val="0"/>
          <w:color w:val="333333"/>
          <w:spacing w:val="0"/>
          <w:kern w:val="0"/>
          <w:sz w:val="32"/>
          <w:szCs w:val="32"/>
          <w:lang w:val="en-US" w:eastAsia="zh-CN" w:bidi="ar"/>
        </w:rPr>
        <w:t>加强</w:t>
      </w:r>
      <w:r>
        <w:rPr>
          <w:rFonts w:hint="default" w:ascii="Times New Roman" w:hAnsi="Times New Roman" w:eastAsia="方正仿宋_GBK" w:cs="Times New Roman"/>
          <w:i w:val="0"/>
          <w:iCs w:val="0"/>
          <w:caps w:val="0"/>
          <w:color w:val="333333"/>
          <w:spacing w:val="0"/>
          <w:kern w:val="0"/>
          <w:sz w:val="32"/>
          <w:szCs w:val="32"/>
          <w:lang w:val="en-US" w:eastAsia="zh-CN" w:bidi="ar"/>
        </w:rPr>
        <w:t>组织领导。</w:t>
      </w:r>
      <w:r>
        <w:rPr>
          <w:rFonts w:hint="eastAsia" w:ascii="Times New Roman" w:hAnsi="Times New Roman" w:eastAsia="方正仿宋_GBK" w:cs="Times New Roman"/>
          <w:i w:val="0"/>
          <w:iCs w:val="0"/>
          <w:caps w:val="0"/>
          <w:color w:val="333333"/>
          <w:spacing w:val="0"/>
          <w:kern w:val="0"/>
          <w:sz w:val="32"/>
          <w:szCs w:val="32"/>
          <w:lang w:val="en-US" w:eastAsia="zh-CN" w:bidi="ar"/>
        </w:rPr>
        <w:t>整合原政务公开工作机构职能，成立由局分管负责人为组长、7个职能处室为成员的政务公开、政务服务和“放管服”改革工作组</w:t>
      </w:r>
      <w:r>
        <w:rPr>
          <w:rFonts w:hint="default" w:ascii="Times New Roman" w:hAnsi="Times New Roman" w:eastAsia="方正仿宋_GBK" w:cs="Times New Roman"/>
          <w:i w:val="0"/>
          <w:iCs w:val="0"/>
          <w:caps w:val="0"/>
          <w:color w:val="333333"/>
          <w:spacing w:val="0"/>
          <w:kern w:val="0"/>
          <w:sz w:val="32"/>
          <w:szCs w:val="32"/>
          <w:lang w:val="en-US" w:eastAsia="zh-CN" w:bidi="ar"/>
        </w:rPr>
        <w:t>，全年研究</w:t>
      </w:r>
      <w:r>
        <w:rPr>
          <w:rFonts w:hint="eastAsia" w:ascii="Times New Roman" w:hAnsi="Times New Roman" w:eastAsia="方正仿宋_GBK" w:cs="Times New Roman"/>
          <w:i w:val="0"/>
          <w:iCs w:val="0"/>
          <w:caps w:val="0"/>
          <w:color w:val="333333"/>
          <w:spacing w:val="0"/>
          <w:kern w:val="0"/>
          <w:sz w:val="32"/>
          <w:szCs w:val="32"/>
          <w:lang w:val="en-US" w:eastAsia="zh-CN" w:bidi="ar"/>
        </w:rPr>
        <w:t>部署政务公开工作</w:t>
      </w:r>
      <w:r>
        <w:rPr>
          <w:rFonts w:hint="default" w:ascii="Times New Roman" w:hAnsi="Times New Roman" w:eastAsia="方正仿宋_GBK" w:cs="Times New Roman"/>
          <w:i w:val="0"/>
          <w:iCs w:val="0"/>
          <w:caps w:val="0"/>
          <w:color w:val="333333"/>
          <w:spacing w:val="0"/>
          <w:kern w:val="0"/>
          <w:sz w:val="32"/>
          <w:szCs w:val="32"/>
          <w:lang w:val="en-US" w:eastAsia="zh-CN" w:bidi="ar"/>
        </w:rPr>
        <w:t>1</w:t>
      </w:r>
      <w:r>
        <w:rPr>
          <w:rFonts w:hint="eastAsia" w:ascii="Times New Roman" w:hAnsi="Times New Roman" w:eastAsia="方正仿宋_GBK" w:cs="Times New Roman"/>
          <w:i w:val="0"/>
          <w:iCs w:val="0"/>
          <w:caps w:val="0"/>
          <w:color w:val="333333"/>
          <w:spacing w:val="0"/>
          <w:kern w:val="0"/>
          <w:sz w:val="32"/>
          <w:szCs w:val="32"/>
          <w:lang w:val="en-US" w:eastAsia="zh-CN" w:bidi="ar"/>
        </w:rPr>
        <w:t>2</w:t>
      </w:r>
      <w:r>
        <w:rPr>
          <w:rFonts w:hint="default" w:ascii="Times New Roman" w:hAnsi="Times New Roman" w:eastAsia="方正仿宋_GBK" w:cs="Times New Roman"/>
          <w:i w:val="0"/>
          <w:iCs w:val="0"/>
          <w:caps w:val="0"/>
          <w:color w:val="333333"/>
          <w:spacing w:val="0"/>
          <w:kern w:val="0"/>
          <w:sz w:val="32"/>
          <w:szCs w:val="32"/>
          <w:lang w:val="en-US" w:eastAsia="zh-CN" w:bidi="ar"/>
        </w:rPr>
        <w:t>次。二是完善工作机制。</w:t>
      </w:r>
      <w:r>
        <w:rPr>
          <w:rFonts w:hint="eastAsia" w:ascii="Times New Roman" w:hAnsi="Times New Roman" w:eastAsia="方正仿宋_GBK" w:cs="Times New Roman"/>
          <w:i w:val="0"/>
          <w:iCs w:val="0"/>
          <w:caps w:val="0"/>
          <w:color w:val="333333"/>
          <w:spacing w:val="0"/>
          <w:kern w:val="0"/>
          <w:sz w:val="32"/>
          <w:szCs w:val="32"/>
          <w:lang w:val="en-US" w:eastAsia="zh-CN" w:bidi="ar"/>
        </w:rPr>
        <w:t>设立工作组办公室，建立联络员制度，将</w:t>
      </w:r>
      <w:r>
        <w:rPr>
          <w:rFonts w:hint="default" w:ascii="Times New Roman" w:hAnsi="Times New Roman" w:eastAsia="方正仿宋_GBK" w:cs="Times New Roman"/>
          <w:i w:val="0"/>
          <w:iCs w:val="0"/>
          <w:caps w:val="0"/>
          <w:color w:val="333333"/>
          <w:spacing w:val="0"/>
          <w:kern w:val="0"/>
          <w:sz w:val="32"/>
          <w:szCs w:val="32"/>
          <w:lang w:val="en-US" w:eastAsia="zh-CN" w:bidi="ar"/>
        </w:rPr>
        <w:t>政务公开工作纳入年度处室目标任务完成情况考核。三是</w:t>
      </w:r>
      <w:r>
        <w:rPr>
          <w:rFonts w:hint="eastAsia" w:ascii="Times New Roman" w:hAnsi="Times New Roman" w:eastAsia="方正仿宋_GBK" w:cs="Times New Roman"/>
          <w:i w:val="0"/>
          <w:iCs w:val="0"/>
          <w:caps w:val="0"/>
          <w:color w:val="333333"/>
          <w:spacing w:val="0"/>
          <w:kern w:val="0"/>
          <w:sz w:val="32"/>
          <w:szCs w:val="32"/>
          <w:lang w:val="en-US" w:eastAsia="zh-CN" w:bidi="ar"/>
        </w:rPr>
        <w:t>强化业务培训</w:t>
      </w:r>
      <w:r>
        <w:rPr>
          <w:rFonts w:hint="default" w:ascii="Times New Roman" w:hAnsi="Times New Roman" w:eastAsia="方正仿宋_GBK" w:cs="Times New Roman"/>
          <w:i w:val="0"/>
          <w:iCs w:val="0"/>
          <w:caps w:val="0"/>
          <w:color w:val="333333"/>
          <w:spacing w:val="0"/>
          <w:kern w:val="0"/>
          <w:sz w:val="32"/>
          <w:szCs w:val="32"/>
          <w:lang w:val="en-US" w:eastAsia="zh-CN" w:bidi="ar"/>
        </w:rPr>
        <w:t>。</w:t>
      </w:r>
      <w:r>
        <w:rPr>
          <w:rFonts w:hint="eastAsia" w:ascii="Times New Roman" w:hAnsi="Times New Roman" w:eastAsia="方正仿宋_GBK" w:cs="Times New Roman"/>
          <w:i w:val="0"/>
          <w:iCs w:val="0"/>
          <w:caps w:val="0"/>
          <w:color w:val="333333"/>
          <w:spacing w:val="0"/>
          <w:kern w:val="0"/>
          <w:sz w:val="32"/>
          <w:szCs w:val="32"/>
          <w:lang w:val="en-US" w:eastAsia="zh-CN" w:bidi="ar"/>
        </w:rPr>
        <w:t>积极参加上级主管部门举办业务培训，围绕政务公开重要文件、政策文件解读、公开属性认定、政府网站和政务新媒体监管等重点难点事项，精心组织本单位培训，全面提升政务公开工作能力。四是加大经费保障。全年政府信息公开经费（含政府网站和政务新媒体建设运维经费）共计77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黑体" w:cs="Times New Roman"/>
          <w:i w:val="0"/>
          <w:iCs w:val="0"/>
          <w:caps w:val="0"/>
          <w:color w:val="333333"/>
          <w:spacing w:val="0"/>
          <w:sz w:val="32"/>
          <w:szCs w:val="32"/>
          <w:lang w:val="en-US" w:eastAsia="zh-CN"/>
        </w:rPr>
      </w:pPr>
      <w:r>
        <w:rPr>
          <w:rFonts w:hint="eastAsia" w:ascii="方正黑体_GBK" w:hAnsi="方正黑体_GBK" w:eastAsia="方正黑体_GBK" w:cs="方正黑体_GBK"/>
          <w:i w:val="0"/>
          <w:iCs w:val="0"/>
          <w:caps w:val="0"/>
          <w:color w:val="333333"/>
          <w:spacing w:val="0"/>
          <w:sz w:val="32"/>
          <w:szCs w:val="32"/>
          <w:lang w:val="en-US" w:eastAsia="zh-CN"/>
        </w:rPr>
        <w:t>二、主动公开政府信息情况</w:t>
      </w:r>
    </w:p>
    <w:tbl>
      <w:tblPr>
        <w:tblStyle w:val="4"/>
        <w:tblW w:w="8892"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2509"/>
        <w:gridCol w:w="1842"/>
        <w:gridCol w:w="2552"/>
        <w:gridCol w:w="198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8892" w:type="dxa"/>
            <w:gridSpan w:val="4"/>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第二十条第（一）项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信息内容</w:t>
            </w:r>
          </w:p>
        </w:tc>
        <w:tc>
          <w:tcPr>
            <w:tcW w:w="1842"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本年制发件数</w:t>
            </w:r>
          </w:p>
        </w:tc>
        <w:tc>
          <w:tcPr>
            <w:tcW w:w="2552"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本年废止件数</w:t>
            </w:r>
          </w:p>
        </w:tc>
        <w:tc>
          <w:tcPr>
            <w:tcW w:w="198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现行有效件数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规章</w:t>
            </w:r>
          </w:p>
        </w:tc>
        <w:tc>
          <w:tcPr>
            <w:tcW w:w="1842" w:type="dxa"/>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0</w:t>
            </w:r>
          </w:p>
        </w:tc>
        <w:tc>
          <w:tcPr>
            <w:tcW w:w="2552" w:type="dxa"/>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0</w:t>
            </w:r>
          </w:p>
        </w:tc>
        <w:tc>
          <w:tcPr>
            <w:tcW w:w="1989" w:type="dxa"/>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行政规范性文件</w:t>
            </w:r>
          </w:p>
        </w:tc>
        <w:tc>
          <w:tcPr>
            <w:tcW w:w="1842" w:type="dxa"/>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2</w:t>
            </w:r>
          </w:p>
        </w:tc>
        <w:tc>
          <w:tcPr>
            <w:tcW w:w="2552" w:type="dxa"/>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1</w:t>
            </w:r>
          </w:p>
        </w:tc>
        <w:tc>
          <w:tcPr>
            <w:tcW w:w="1989" w:type="dxa"/>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第二十条第（五）项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信息内容</w:t>
            </w:r>
          </w:p>
        </w:tc>
        <w:tc>
          <w:tcPr>
            <w:tcW w:w="6383" w:type="dxa"/>
            <w:gridSpan w:val="3"/>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行政许可</w:t>
            </w:r>
          </w:p>
        </w:tc>
        <w:tc>
          <w:tcPr>
            <w:tcW w:w="6383" w:type="dxa"/>
            <w:gridSpan w:val="3"/>
            <w:tcMar>
              <w:left w:w="17" w:type="dxa"/>
              <w:right w:w="17" w:type="dxa"/>
            </w:tcMar>
            <w:vAlign w:val="center"/>
          </w:tcPr>
          <w:p>
            <w:pPr>
              <w:spacing w:line="300" w:lineRule="exact"/>
              <w:jc w:val="center"/>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auto"/>
                <w:sz w:val="24"/>
                <w:szCs w:val="24"/>
                <w:lang w:val="en-US" w:eastAsia="zh-CN"/>
              </w:rPr>
              <w:t>11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第二十条第（六）项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信息内容</w:t>
            </w:r>
          </w:p>
        </w:tc>
        <w:tc>
          <w:tcPr>
            <w:tcW w:w="6383" w:type="dxa"/>
            <w:gridSpan w:val="3"/>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本年处理决定数量</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行政处罚</w:t>
            </w:r>
          </w:p>
        </w:tc>
        <w:tc>
          <w:tcPr>
            <w:tcW w:w="6383" w:type="dxa"/>
            <w:gridSpan w:val="3"/>
            <w:tcMar>
              <w:left w:w="17" w:type="dxa"/>
              <w:right w:w="17" w:type="dxa"/>
            </w:tcMar>
            <w:vAlign w:val="center"/>
          </w:tcPr>
          <w:p>
            <w:pPr>
              <w:spacing w:line="300" w:lineRule="exact"/>
              <w:jc w:val="center"/>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129</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行政强制</w:t>
            </w:r>
          </w:p>
        </w:tc>
        <w:tc>
          <w:tcPr>
            <w:tcW w:w="6383" w:type="dxa"/>
            <w:gridSpan w:val="3"/>
            <w:tcMar>
              <w:left w:w="17" w:type="dxa"/>
              <w:right w:w="17" w:type="dxa"/>
            </w:tcMar>
            <w:vAlign w:val="center"/>
          </w:tcPr>
          <w:p>
            <w:pPr>
              <w:spacing w:line="300" w:lineRule="exact"/>
              <w:jc w:val="cente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892" w:type="dxa"/>
            <w:gridSpan w:val="4"/>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第二十条第（八）项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信息内容</w:t>
            </w:r>
          </w:p>
        </w:tc>
        <w:tc>
          <w:tcPr>
            <w:tcW w:w="6383" w:type="dxa"/>
            <w:gridSpan w:val="3"/>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本年收费金额（单位：万元）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509" w:type="dxa"/>
            <w:tcMar>
              <w:left w:w="17" w:type="dxa"/>
              <w:right w:w="17" w:type="dxa"/>
            </w:tcMar>
            <w:vAlign w:val="center"/>
          </w:tcPr>
          <w:p>
            <w:pPr>
              <w:spacing w:line="300" w:lineRule="exact"/>
              <w:jc w:val="center"/>
              <w:rPr>
                <w:rFonts w:ascii="Times New Roman" w:hAnsi="Times New Roman" w:eastAsia="宋体" w:cs="宋体"/>
                <w:caps w:val="0"/>
                <w:smallCaps w:val="0"/>
                <w:color w:val="000000" w:themeColor="text1"/>
                <w:sz w:val="24"/>
                <w:szCs w:val="24"/>
                <w14:textFill>
                  <w14:solidFill>
                    <w14:schemeClr w14:val="tx1"/>
                  </w14:solidFill>
                </w14:textFill>
              </w:rPr>
            </w:pPr>
            <w:r>
              <w:rPr>
                <w:rFonts w:hint="eastAsia" w:ascii="Times New Roman" w:hAnsi="Times New Roman" w:eastAsia="宋体" w:cs="宋体"/>
                <w:caps w:val="0"/>
                <w:smallCaps w:val="0"/>
                <w:color w:val="000000" w:themeColor="text1"/>
                <w:sz w:val="24"/>
                <w:szCs w:val="24"/>
                <w14:textFill>
                  <w14:solidFill>
                    <w14:schemeClr w14:val="tx1"/>
                  </w14:solidFill>
                </w14:textFill>
              </w:rPr>
              <w:t>行政事业性收费</w:t>
            </w:r>
          </w:p>
        </w:tc>
        <w:tc>
          <w:tcPr>
            <w:tcW w:w="6383" w:type="dxa"/>
            <w:gridSpan w:val="3"/>
            <w:tcMar>
              <w:left w:w="17" w:type="dxa"/>
              <w:right w:w="17" w:type="dxa"/>
            </w:tcMar>
            <w:vAlign w:val="center"/>
          </w:tcPr>
          <w:p>
            <w:pPr>
              <w:spacing w:line="300" w:lineRule="exact"/>
              <w:jc w:val="center"/>
              <w:rPr>
                <w:rFonts w:hint="default" w:ascii="Times New Roman" w:hAnsi="Times New Roman" w:eastAsia="宋体" w:cs="宋体"/>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4"/>
                <w:szCs w:val="24"/>
                <w:lang w:val="en-US" w:eastAsia="zh-CN"/>
                <w14:textFill>
                  <w14:solidFill>
                    <w14:schemeClr w14:val="tx1"/>
                  </w14:solidFill>
                </w14:textFill>
              </w:rPr>
              <w:t>9.7356</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黑体" w:cs="Times New Roman"/>
          <w:i w:val="0"/>
          <w:iCs w:val="0"/>
          <w:caps w:val="0"/>
          <w:color w:val="333333"/>
          <w:spacing w:val="0"/>
          <w:sz w:val="32"/>
          <w:szCs w:val="32"/>
          <w:lang w:val="en-US" w:eastAsia="zh-CN"/>
        </w:rPr>
      </w:pPr>
      <w:r>
        <w:rPr>
          <w:rFonts w:hint="eastAsia" w:ascii="Times New Roman" w:hAnsi="Times New Roman" w:eastAsia="黑体" w:cs="Times New Roman"/>
          <w:i w:val="0"/>
          <w:iCs w:val="0"/>
          <w:caps w:val="0"/>
          <w:color w:val="333333"/>
          <w:spacing w:val="0"/>
          <w:sz w:val="32"/>
          <w:szCs w:val="32"/>
          <w:lang w:val="en-US" w:eastAsia="zh-CN"/>
        </w:rPr>
        <w:t>三、收到和处理政府信息公开申请情况</w:t>
      </w:r>
    </w:p>
    <w:tbl>
      <w:tblPr>
        <w:tblStyle w:val="4"/>
        <w:tblW w:w="8901"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07"/>
        <w:gridCol w:w="861"/>
        <w:gridCol w:w="7"/>
        <w:gridCol w:w="3010"/>
        <w:gridCol w:w="625"/>
        <w:gridCol w:w="602"/>
        <w:gridCol w:w="588"/>
        <w:gridCol w:w="755"/>
        <w:gridCol w:w="756"/>
        <w:gridCol w:w="560"/>
        <w:gridCol w:w="63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trPr>
        <w:tc>
          <w:tcPr>
            <w:tcW w:w="4385" w:type="dxa"/>
            <w:gridSpan w:val="4"/>
            <w:vMerge w:val="restart"/>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pacing w:val="-4"/>
                <w:sz w:val="20"/>
                <w14:textFill>
                  <w14:solidFill>
                    <w14:schemeClr w14:val="tx1"/>
                  </w14:solidFill>
                </w14:textFill>
              </w:rPr>
            </w:pPr>
            <w:r>
              <w:rPr>
                <w:rFonts w:hint="eastAsia" w:ascii="Times New Roman" w:hAnsi="Times New Roman" w:eastAsia="方正黑体_GBK"/>
                <w:caps w:val="0"/>
                <w:smallCaps w:val="0"/>
                <w:color w:val="000000" w:themeColor="text1"/>
                <w:spacing w:val="-4"/>
                <w:sz w:val="20"/>
                <w14:textFill>
                  <w14:solidFill>
                    <w14:schemeClr w14:val="tx1"/>
                  </w14:solidFill>
                </w14:textFill>
              </w:rPr>
              <w:t>（本列数据的勾稽关系为：第一项加第二项之和，等于第三项加第四项之和）</w:t>
            </w:r>
          </w:p>
        </w:tc>
        <w:tc>
          <w:tcPr>
            <w:tcW w:w="4516" w:type="dxa"/>
            <w:gridSpan w:val="7"/>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申请人情况</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p>
        </w:tc>
        <w:tc>
          <w:tcPr>
            <w:tcW w:w="625" w:type="dxa"/>
            <w:vMerge w:val="restart"/>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自然人</w:t>
            </w:r>
          </w:p>
        </w:tc>
        <w:tc>
          <w:tcPr>
            <w:tcW w:w="3261" w:type="dxa"/>
            <w:gridSpan w:val="5"/>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法人或其他组织</w:t>
            </w:r>
          </w:p>
        </w:tc>
        <w:tc>
          <w:tcPr>
            <w:tcW w:w="630" w:type="dxa"/>
            <w:vMerge w:val="restart"/>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总计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p>
        </w:tc>
        <w:tc>
          <w:tcPr>
            <w:tcW w:w="625" w:type="dxa"/>
            <w:vMerge w:val="continue"/>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p>
        </w:tc>
        <w:tc>
          <w:tcPr>
            <w:tcW w:w="602" w:type="dxa"/>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商业企业</w:t>
            </w:r>
          </w:p>
        </w:tc>
        <w:tc>
          <w:tcPr>
            <w:tcW w:w="588" w:type="dxa"/>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科研机构</w:t>
            </w:r>
          </w:p>
        </w:tc>
        <w:tc>
          <w:tcPr>
            <w:tcW w:w="755" w:type="dxa"/>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社会公益组织</w:t>
            </w:r>
          </w:p>
        </w:tc>
        <w:tc>
          <w:tcPr>
            <w:tcW w:w="756" w:type="dxa"/>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法律服务机构</w:t>
            </w:r>
          </w:p>
        </w:tc>
        <w:tc>
          <w:tcPr>
            <w:tcW w:w="560" w:type="dxa"/>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r>
              <w:rPr>
                <w:rFonts w:hint="eastAsia" w:ascii="Times New Roman" w:hAnsi="Times New Roman" w:eastAsia="方正黑体_GBK"/>
                <w:caps w:val="0"/>
                <w:smallCaps w:val="0"/>
                <w:color w:val="000000" w:themeColor="text1"/>
                <w:sz w:val="20"/>
                <w14:textFill>
                  <w14:solidFill>
                    <w14:schemeClr w14:val="tx1"/>
                  </w14:solidFill>
                </w14:textFill>
              </w:rPr>
              <w:t>其他</w:t>
            </w:r>
          </w:p>
        </w:tc>
        <w:tc>
          <w:tcPr>
            <w:tcW w:w="630" w:type="dxa"/>
            <w:vMerge w:val="continue"/>
            <w:tcMar>
              <w:left w:w="17" w:type="dxa"/>
              <w:right w:w="17" w:type="dxa"/>
            </w:tcMar>
            <w:vAlign w:val="center"/>
          </w:tcPr>
          <w:p>
            <w:pPr>
              <w:spacing w:line="200" w:lineRule="exact"/>
              <w:jc w:val="center"/>
              <w:rPr>
                <w:rFonts w:ascii="Times New Roman" w:hAnsi="Times New Roman" w:eastAsia="方正黑体_GBK"/>
                <w:caps w:val="0"/>
                <w:smallCaps w:val="0"/>
                <w:color w:val="000000" w:themeColor="text1"/>
                <w:sz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一、本年新收政府信息公开申请数量</w:t>
            </w:r>
          </w:p>
        </w:tc>
        <w:tc>
          <w:tcPr>
            <w:tcW w:w="625" w:type="dxa"/>
            <w:tcMar>
              <w:left w:w="17" w:type="dxa"/>
              <w:right w:w="17" w:type="dxa"/>
            </w:tcMar>
            <w:vAlign w:val="center"/>
          </w:tcPr>
          <w:p>
            <w:pPr>
              <w:spacing w:line="200" w:lineRule="exact"/>
              <w:jc w:val="center"/>
              <w:rPr>
                <w:rFonts w:hint="default"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26</w:t>
            </w:r>
          </w:p>
        </w:tc>
        <w:tc>
          <w:tcPr>
            <w:tcW w:w="602"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26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二、上年结转政府信息公开申请数量</w:t>
            </w:r>
          </w:p>
        </w:tc>
        <w:tc>
          <w:tcPr>
            <w:tcW w:w="625"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s="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restart"/>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三、本年度办理结果</w:t>
            </w:r>
          </w:p>
        </w:tc>
        <w:tc>
          <w:tcPr>
            <w:tcW w:w="3878" w:type="dxa"/>
            <w:gridSpan w:val="3"/>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（一）予以公开</w:t>
            </w:r>
          </w:p>
        </w:tc>
        <w:tc>
          <w:tcPr>
            <w:tcW w:w="625" w:type="dxa"/>
            <w:tcMar>
              <w:left w:w="17" w:type="dxa"/>
              <w:right w:w="17" w:type="dxa"/>
            </w:tcMar>
            <w:vAlign w:val="center"/>
          </w:tcPr>
          <w:p>
            <w:pPr>
              <w:spacing w:line="200" w:lineRule="exact"/>
              <w:jc w:val="center"/>
              <w:rPr>
                <w:rFonts w:hint="default"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5</w:t>
            </w:r>
          </w:p>
        </w:tc>
        <w:tc>
          <w:tcPr>
            <w:tcW w:w="602"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10"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878" w:type="dxa"/>
            <w:gridSpan w:val="3"/>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（二）部分公开（</w:t>
            </w:r>
            <w:r>
              <w:rPr>
                <w:rFonts w:hint="eastAsia" w:ascii="Times New Roman" w:hAnsi="Times New Roman" w:eastAsia="方正楷体_GBK" w:cs="方正楷体_GBK"/>
                <w:caps w:val="0"/>
                <w:smallCaps w:val="0"/>
                <w:color w:val="000000" w:themeColor="text1"/>
                <w:sz w:val="20"/>
                <w14:textFill>
                  <w14:solidFill>
                    <w14:schemeClr w14:val="tx1"/>
                  </w14:solidFill>
                </w14:textFill>
              </w:rPr>
              <w:t>区分处理的，只计这一情形，不计其他情形</w:t>
            </w:r>
            <w:r>
              <w:rPr>
                <w:rFonts w:hint="eastAsia" w:ascii="Times New Roman" w:hAnsi="Times New Roman" w:eastAsia="方正书宋_GBK" w:cs="方正书宋_GBK"/>
                <w:caps w:val="0"/>
                <w:smallCaps w:val="0"/>
                <w:color w:val="000000" w:themeColor="text1"/>
                <w:sz w:val="20"/>
                <w14:textFill>
                  <w14:solidFill>
                    <w14:schemeClr w14:val="tx1"/>
                  </w14:solidFill>
                </w14:textFill>
              </w:rPr>
              <w:t>）</w:t>
            </w:r>
          </w:p>
        </w:tc>
        <w:tc>
          <w:tcPr>
            <w:tcW w:w="625"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9</w:t>
            </w:r>
          </w:p>
        </w:tc>
        <w:tc>
          <w:tcPr>
            <w:tcW w:w="602"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9</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（三）不予公开</w:t>
            </w: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1.属于国家秘密</w:t>
            </w:r>
          </w:p>
        </w:tc>
        <w:tc>
          <w:tcPr>
            <w:tcW w:w="625"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pacing w:val="-6"/>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pacing w:val="-6"/>
                <w:sz w:val="20"/>
                <w14:textFill>
                  <w14:solidFill>
                    <w14:schemeClr w14:val="tx1"/>
                  </w14:solidFill>
                </w14:textFill>
              </w:rPr>
              <w:t>2.其他法律行政法规禁止公开</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3.危及“三安全一稳定”</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4.保护第三方合法权益</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5.属于三类内部事务信息</w:t>
            </w:r>
          </w:p>
        </w:tc>
        <w:tc>
          <w:tcPr>
            <w:tcW w:w="625"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1</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6.属于四类过程性信息</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7.属于行政执法案卷</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8.属于行政查询事项</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（四）无法提供</w:t>
            </w: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pacing w:val="-4"/>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pacing w:val="-4"/>
                <w:sz w:val="20"/>
                <w14:textFill>
                  <w14:solidFill>
                    <w14:schemeClr w14:val="tx1"/>
                  </w14:solidFill>
                </w14:textFill>
              </w:rPr>
              <w:t>1.本机关不掌握相关政府信息</w:t>
            </w:r>
          </w:p>
        </w:tc>
        <w:tc>
          <w:tcPr>
            <w:tcW w:w="625" w:type="dxa"/>
            <w:tcMar>
              <w:left w:w="17" w:type="dxa"/>
              <w:right w:w="17" w:type="dxa"/>
            </w:tcMar>
            <w:vAlign w:val="center"/>
          </w:tcPr>
          <w:p>
            <w:pPr>
              <w:spacing w:line="200" w:lineRule="exact"/>
              <w:jc w:val="center"/>
              <w:rPr>
                <w:rFonts w:hint="default"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11</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11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pacing w:val="-4"/>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pacing w:val="-4"/>
                <w:sz w:val="20"/>
                <w14:textFill>
                  <w14:solidFill>
                    <w14:schemeClr w14:val="tx1"/>
                  </w14:solidFill>
                </w14:textFill>
              </w:rPr>
              <w:t>2.没有现成信息需要另行制作</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3.补正后申请内容仍不明确</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（五）不予处理</w:t>
            </w: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1.信访举报投诉类申请</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2.重复申请</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3.要求提供公开出版物</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4.无正当理由大量反复申请</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5.要求行政机关确认或重新出具已获取信息</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782"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868" w:type="dxa"/>
            <w:gridSpan w:val="2"/>
            <w:vMerge w:val="restart"/>
            <w:tcBorders>
              <w:right w:val="single" w:color="auto" w:sz="4" w:space="0"/>
            </w:tcBorders>
            <w:tcMar>
              <w:left w:w="17" w:type="dxa"/>
              <w:right w:w="17" w:type="dxa"/>
            </w:tcMar>
            <w:vAlign w:val="center"/>
          </w:tcPr>
          <w:p>
            <w:pPr>
              <w:widowControl/>
              <w:spacing w:line="200" w:lineRule="exact"/>
              <w:jc w:val="lef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lang w:bidi="ar"/>
                <w14:textFill>
                  <w14:solidFill>
                    <w14:schemeClr w14:val="tx1"/>
                  </w14:solidFill>
                </w14:textFill>
              </w:rPr>
              <w:t>（六）其他处理</w:t>
            </w:r>
          </w:p>
        </w:tc>
        <w:tc>
          <w:tcPr>
            <w:tcW w:w="3010" w:type="dxa"/>
            <w:tcBorders>
              <w:left w:val="single" w:color="auto" w:sz="4" w:space="0"/>
            </w:tcBorders>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lang w:bidi="ar"/>
                <w14:textFill>
                  <w14:solidFill>
                    <w14:schemeClr w14:val="tx1"/>
                  </w14:solidFill>
                </w14:textFill>
              </w:rPr>
              <w:t>1.申请人无正当理由逾期不补正、行政机关不再处理其政府信息公开申请</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018" w:hRule="atLeast"/>
        </w:trPr>
        <w:tc>
          <w:tcPr>
            <w:tcW w:w="507" w:type="dxa"/>
            <w:vMerge w:val="continue"/>
            <w:tcMar>
              <w:left w:w="17" w:type="dxa"/>
              <w:right w:w="17" w:type="dxa"/>
            </w:tcMar>
            <w:vAlign w:val="center"/>
          </w:tcPr>
          <w:p>
            <w:pPr>
              <w:spacing w:line="200" w:lineRule="exact"/>
              <w:jc w:val="center"/>
              <w:rPr>
                <w:rFonts w:ascii="Times New Roman" w:hAnsi="Times New Roman"/>
                <w:caps w:val="0"/>
                <w:smallCaps w:val="0"/>
                <w:color w:val="000000" w:themeColor="text1"/>
                <w:sz w:val="20"/>
                <w14:textFill>
                  <w14:solidFill>
                    <w14:schemeClr w14:val="tx1"/>
                  </w14:solidFill>
                </w14:textFill>
              </w:rPr>
            </w:pPr>
          </w:p>
        </w:tc>
        <w:tc>
          <w:tcPr>
            <w:tcW w:w="868" w:type="dxa"/>
            <w:gridSpan w:val="2"/>
            <w:vMerge w:val="continue"/>
            <w:tcBorders>
              <w:right w:val="single" w:color="auto" w:sz="4" w:space="0"/>
            </w:tcBorders>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010" w:type="dxa"/>
            <w:tcBorders>
              <w:left w:val="single" w:color="auto" w:sz="4" w:space="0"/>
            </w:tcBorders>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lang w:bidi="ar"/>
                <w14:textFill>
                  <w14:solidFill>
                    <w14:schemeClr w14:val="tx1"/>
                  </w14:solidFill>
                </w14:textFill>
              </w:rPr>
              <w:t>2.申请人逾期未按收费通知要求缴纳费用、行政机关不再处理其政府信息公开申请</w:t>
            </w:r>
          </w:p>
        </w:tc>
        <w:tc>
          <w:tcPr>
            <w:tcW w:w="625"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81" w:hRule="atLeast"/>
        </w:trPr>
        <w:tc>
          <w:tcPr>
            <w:tcW w:w="507" w:type="dxa"/>
            <w:vMerge w:val="continue"/>
            <w:tcMar>
              <w:left w:w="17" w:type="dxa"/>
              <w:right w:w="17" w:type="dxa"/>
            </w:tcMar>
            <w:vAlign w:val="center"/>
          </w:tcPr>
          <w:p>
            <w:pPr>
              <w:spacing w:line="200" w:lineRule="exact"/>
              <w:jc w:val="center"/>
              <w:rPr>
                <w:rFonts w:ascii="Times New Roman" w:hAnsi="Times New Roman"/>
                <w:caps w:val="0"/>
                <w:smallCaps w:val="0"/>
                <w:color w:val="000000" w:themeColor="text1"/>
                <w:sz w:val="20"/>
                <w14:textFill>
                  <w14:solidFill>
                    <w14:schemeClr w14:val="tx1"/>
                  </w14:solidFill>
                </w14:textFill>
              </w:rPr>
            </w:pPr>
          </w:p>
        </w:tc>
        <w:tc>
          <w:tcPr>
            <w:tcW w:w="868" w:type="dxa"/>
            <w:gridSpan w:val="2"/>
            <w:vMerge w:val="continue"/>
            <w:tcBorders>
              <w:right w:val="single" w:color="auto" w:sz="4" w:space="0"/>
            </w:tcBorders>
            <w:tcMar>
              <w:left w:w="17" w:type="dxa"/>
              <w:right w:w="17" w:type="dxa"/>
            </w:tcMar>
            <w:vAlign w:val="center"/>
          </w:tcPr>
          <w:p>
            <w:pPr>
              <w:spacing w:line="200" w:lineRule="exact"/>
              <w:jc w:val="center"/>
              <w:rPr>
                <w:rFonts w:ascii="Times New Roman" w:hAnsi="Times New Roman"/>
                <w:caps w:val="0"/>
                <w:smallCaps w:val="0"/>
                <w:color w:val="000000" w:themeColor="text1"/>
                <w:sz w:val="20"/>
                <w14:textFill>
                  <w14:solidFill>
                    <w14:schemeClr w14:val="tx1"/>
                  </w14:solidFill>
                </w14:textFill>
              </w:rPr>
            </w:pPr>
          </w:p>
        </w:tc>
        <w:tc>
          <w:tcPr>
            <w:tcW w:w="3010" w:type="dxa"/>
            <w:tcBorders>
              <w:left w:val="single" w:color="auto" w:sz="4" w:space="0"/>
            </w:tcBorders>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lang w:bidi="ar"/>
                <w14:textFill>
                  <w14:solidFill>
                    <w14:schemeClr w14:val="tx1"/>
                  </w14:solidFill>
                </w14:textFill>
              </w:rPr>
              <w:t>3.其他</w:t>
            </w:r>
          </w:p>
        </w:tc>
        <w:tc>
          <w:tcPr>
            <w:tcW w:w="625"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方正书宋_GBK" w:cs="方正书宋_GBK"/>
                <w:caps w:val="0"/>
                <w:smallCaps w:val="0"/>
                <w:color w:val="000000" w:themeColor="text1"/>
                <w:sz w:val="20"/>
                <w:lang w:bidi="ar"/>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86" w:hRule="atLeast"/>
        </w:trPr>
        <w:tc>
          <w:tcPr>
            <w:tcW w:w="507" w:type="dxa"/>
            <w:vMerge w:val="continue"/>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p>
        </w:tc>
        <w:tc>
          <w:tcPr>
            <w:tcW w:w="3878" w:type="dxa"/>
            <w:gridSpan w:val="3"/>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（七）总计</w:t>
            </w:r>
          </w:p>
        </w:tc>
        <w:tc>
          <w:tcPr>
            <w:tcW w:w="625" w:type="dxa"/>
            <w:tcMar>
              <w:left w:w="17" w:type="dxa"/>
              <w:right w:w="17" w:type="dxa"/>
            </w:tcMar>
            <w:vAlign w:val="center"/>
          </w:tcPr>
          <w:p>
            <w:pPr>
              <w:spacing w:line="200" w:lineRule="exact"/>
              <w:jc w:val="center"/>
              <w:rPr>
                <w:rFonts w:hint="default"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26</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宋体"/>
                <w:caps w:val="0"/>
                <w:smallCaps w:val="0"/>
                <w:color w:val="000000" w:themeColor="text1"/>
                <w:sz w:val="20"/>
                <w:lang w:val="en-US" w:eastAsia="zh-CN"/>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26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77" w:hRule="atLeast"/>
        </w:trPr>
        <w:tc>
          <w:tcPr>
            <w:tcW w:w="4385" w:type="dxa"/>
            <w:gridSpan w:val="4"/>
            <w:tcMar>
              <w:left w:w="17" w:type="dxa"/>
              <w:right w:w="17" w:type="dxa"/>
            </w:tcMar>
            <w:vAlign w:val="center"/>
          </w:tcPr>
          <w:p>
            <w:pPr>
              <w:spacing w:line="200" w:lineRule="exact"/>
              <w:rPr>
                <w:rFonts w:ascii="Times New Roman" w:hAnsi="Times New Roman" w:eastAsia="方正书宋_GBK" w:cs="方正书宋_GBK"/>
                <w:caps w:val="0"/>
                <w:smallCaps w:val="0"/>
                <w:color w:val="000000" w:themeColor="text1"/>
                <w:sz w:val="20"/>
                <w14:textFill>
                  <w14:solidFill>
                    <w14:schemeClr w14:val="tx1"/>
                  </w14:solidFill>
                </w14:textFill>
              </w:rPr>
            </w:pPr>
            <w:r>
              <w:rPr>
                <w:rFonts w:hint="eastAsia" w:ascii="Times New Roman" w:hAnsi="Times New Roman" w:eastAsia="方正书宋_GBK" w:cs="方正书宋_GBK"/>
                <w:caps w:val="0"/>
                <w:smallCaps w:val="0"/>
                <w:color w:val="000000" w:themeColor="text1"/>
                <w:sz w:val="20"/>
                <w14:textFill>
                  <w14:solidFill>
                    <w14:schemeClr w14:val="tx1"/>
                  </w14:solidFill>
                </w14:textFill>
              </w:rPr>
              <w:t>四、结转下年度继续办理</w:t>
            </w:r>
          </w:p>
        </w:tc>
        <w:tc>
          <w:tcPr>
            <w:tcW w:w="62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ascii="Times New Roman" w:hAnsi="Times New Roman" w:eastAsia="宋体"/>
                <w:caps w:val="0"/>
                <w:smallCaps w:val="0"/>
                <w:color w:val="000000" w:themeColor="text1"/>
                <w:sz w:val="20"/>
                <w14:textFill>
                  <w14:solidFill>
                    <w14:schemeClr w14:val="tx1"/>
                  </w14:solidFill>
                </w14:textFill>
              </w:rPr>
            </w:pPr>
            <w:r>
              <w:rPr>
                <w:rFonts w:hint="eastAsia" w:ascii="Times New Roman" w:hAnsi="Times New Roman" w:eastAsia="宋体"/>
                <w:caps w:val="0"/>
                <w:smallCaps w:val="0"/>
                <w:color w:val="000000" w:themeColor="text1"/>
                <w:sz w:val="20"/>
                <w:lang w:val="en-US" w:eastAsia="zh-CN"/>
                <w14:textFill>
                  <w14:solidFill>
                    <w14:schemeClr w14:val="tx1"/>
                  </w14:solidFill>
                </w14:textFill>
              </w:rPr>
              <w:t>0</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i w:val="0"/>
          <w:iCs w:val="0"/>
          <w:caps w:val="0"/>
          <w:color w:val="333333"/>
          <w:spacing w:val="0"/>
          <w:kern w:val="0"/>
          <w:sz w:val="32"/>
          <w:szCs w:val="32"/>
          <w:lang w:val="en-US" w:eastAsia="zh-CN" w:bidi="ar"/>
        </w:rPr>
      </w:pPr>
      <w:r>
        <w:rPr>
          <w:rFonts w:hint="eastAsia" w:ascii="方正黑体_GBK" w:hAnsi="方正黑体_GBK" w:eastAsia="方正黑体_GBK" w:cs="方正黑体_GBK"/>
          <w:i w:val="0"/>
          <w:iCs w:val="0"/>
          <w:caps w:val="0"/>
          <w:color w:val="333333"/>
          <w:spacing w:val="0"/>
          <w:kern w:val="0"/>
          <w:sz w:val="32"/>
          <w:szCs w:val="32"/>
          <w:lang w:val="en-US" w:eastAsia="zh-CN" w:bidi="ar"/>
        </w:rPr>
        <w:t>四、政府信息公开行政复议、行政诉讼情况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60"/>
        <w:gridCol w:w="518"/>
        <w:gridCol w:w="546"/>
        <w:gridCol w:w="518"/>
        <w:gridCol w:w="574"/>
        <w:gridCol w:w="550"/>
        <w:gridCol w:w="605"/>
        <w:gridCol w:w="605"/>
        <w:gridCol w:w="605"/>
        <w:gridCol w:w="491"/>
        <w:gridCol w:w="605"/>
        <w:gridCol w:w="605"/>
        <w:gridCol w:w="605"/>
        <w:gridCol w:w="606"/>
        <w:gridCol w:w="91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2716" w:type="dxa"/>
            <w:gridSpan w:val="5"/>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行政复议</w:t>
            </w:r>
          </w:p>
        </w:tc>
        <w:tc>
          <w:tcPr>
            <w:tcW w:w="6187" w:type="dxa"/>
            <w:gridSpan w:val="10"/>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行    政    诉    讼</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vMerge w:val="restart"/>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结果维持</w:t>
            </w:r>
          </w:p>
        </w:tc>
        <w:tc>
          <w:tcPr>
            <w:tcW w:w="518" w:type="dxa"/>
            <w:vMerge w:val="restart"/>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结果纠正</w:t>
            </w:r>
          </w:p>
        </w:tc>
        <w:tc>
          <w:tcPr>
            <w:tcW w:w="546" w:type="dxa"/>
            <w:vMerge w:val="restart"/>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其他结果</w:t>
            </w:r>
          </w:p>
        </w:tc>
        <w:tc>
          <w:tcPr>
            <w:tcW w:w="518" w:type="dxa"/>
            <w:vMerge w:val="restart"/>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尚未审结</w:t>
            </w:r>
          </w:p>
        </w:tc>
        <w:tc>
          <w:tcPr>
            <w:tcW w:w="574" w:type="dxa"/>
            <w:vMerge w:val="restart"/>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总计</w:t>
            </w:r>
          </w:p>
        </w:tc>
        <w:tc>
          <w:tcPr>
            <w:tcW w:w="2856" w:type="dxa"/>
            <w:gridSpan w:val="5"/>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未经复议直接起诉</w:t>
            </w:r>
          </w:p>
        </w:tc>
        <w:tc>
          <w:tcPr>
            <w:tcW w:w="3331" w:type="dxa"/>
            <w:gridSpan w:val="5"/>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复议后起诉</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vMerge w:val="continue"/>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p>
        </w:tc>
        <w:tc>
          <w:tcPr>
            <w:tcW w:w="518" w:type="dxa"/>
            <w:vMerge w:val="continue"/>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p>
        </w:tc>
        <w:tc>
          <w:tcPr>
            <w:tcW w:w="546" w:type="dxa"/>
            <w:vMerge w:val="continue"/>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p>
        </w:tc>
        <w:tc>
          <w:tcPr>
            <w:tcW w:w="518" w:type="dxa"/>
            <w:vMerge w:val="continue"/>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p>
        </w:tc>
        <w:tc>
          <w:tcPr>
            <w:tcW w:w="574" w:type="dxa"/>
            <w:vMerge w:val="continue"/>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p>
        </w:tc>
        <w:tc>
          <w:tcPr>
            <w:tcW w:w="550"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结果维持</w:t>
            </w:r>
          </w:p>
        </w:tc>
        <w:tc>
          <w:tcPr>
            <w:tcW w:w="605"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结果纠正</w:t>
            </w:r>
          </w:p>
        </w:tc>
        <w:tc>
          <w:tcPr>
            <w:tcW w:w="605"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其他结果</w:t>
            </w:r>
          </w:p>
        </w:tc>
        <w:tc>
          <w:tcPr>
            <w:tcW w:w="605"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尚未审结</w:t>
            </w:r>
          </w:p>
        </w:tc>
        <w:tc>
          <w:tcPr>
            <w:tcW w:w="491"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总计</w:t>
            </w:r>
          </w:p>
        </w:tc>
        <w:tc>
          <w:tcPr>
            <w:tcW w:w="605"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结果维持</w:t>
            </w:r>
          </w:p>
        </w:tc>
        <w:tc>
          <w:tcPr>
            <w:tcW w:w="605"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结果纠正</w:t>
            </w:r>
          </w:p>
        </w:tc>
        <w:tc>
          <w:tcPr>
            <w:tcW w:w="605"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其他结果</w:t>
            </w:r>
          </w:p>
        </w:tc>
        <w:tc>
          <w:tcPr>
            <w:tcW w:w="606"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尚未审结</w:t>
            </w:r>
          </w:p>
        </w:tc>
        <w:tc>
          <w:tcPr>
            <w:tcW w:w="910" w:type="dxa"/>
            <w:tcMar>
              <w:left w:w="17" w:type="dxa"/>
              <w:right w:w="17" w:type="dxa"/>
            </w:tcMar>
            <w:vAlign w:val="center"/>
          </w:tcPr>
          <w:p>
            <w:pPr>
              <w:spacing w:line="300" w:lineRule="exact"/>
              <w:jc w:val="center"/>
              <w:rPr>
                <w:rFonts w:ascii="Times New Roman" w:hAnsi="Times New Roman" w:eastAsia="方正黑体_GBK"/>
                <w:caps w:val="0"/>
                <w:smallCaps w:val="0"/>
                <w:color w:val="000000" w:themeColor="text1"/>
                <w:sz w:val="24"/>
                <w:szCs w:val="24"/>
                <w14:textFill>
                  <w14:solidFill>
                    <w14:schemeClr w14:val="tx1"/>
                  </w14:solidFill>
                </w14:textFill>
              </w:rPr>
            </w:pPr>
            <w:r>
              <w:rPr>
                <w:rFonts w:hint="eastAsia" w:ascii="Times New Roman" w:hAnsi="Times New Roman" w:eastAsia="方正黑体_GBK"/>
                <w:caps w:val="0"/>
                <w:smallCaps w:val="0"/>
                <w:color w:val="000000" w:themeColor="text1"/>
                <w:sz w:val="24"/>
                <w:szCs w:val="24"/>
                <w14:textFill>
                  <w14:solidFill>
                    <w14:schemeClr w14:val="tx1"/>
                  </w14:solidFill>
                </w14:textFill>
              </w:rPr>
              <w:t>总计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560"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518"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546"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518"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574"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550"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5"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5"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5"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491"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5"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5"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5"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606"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c>
          <w:tcPr>
            <w:tcW w:w="910" w:type="dxa"/>
            <w:tcMar>
              <w:left w:w="17" w:type="dxa"/>
              <w:right w:w="17" w:type="dxa"/>
            </w:tcMar>
            <w:vAlign w:val="center"/>
          </w:tcPr>
          <w:p>
            <w:pPr>
              <w:spacing w:line="300" w:lineRule="exact"/>
              <w:jc w:val="cente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pPr>
            <w:r>
              <w:rPr>
                <w:rFonts w:hint="eastAsia" w:ascii="Times New Roman" w:hAnsi="Times New Roman" w:eastAsia="方正书宋_GBK"/>
                <w:caps w:val="0"/>
                <w:smallCaps w:val="0"/>
                <w:color w:val="000000" w:themeColor="text1"/>
                <w:sz w:val="24"/>
                <w:szCs w:val="24"/>
                <w:lang w:val="en-US" w:eastAsia="zh-CN"/>
                <w14:textFill>
                  <w14:solidFill>
                    <w14:schemeClr w14:val="tx1"/>
                  </w14:solidFill>
                </w14:textFill>
              </w:rPr>
              <w:t>0</w:t>
            </w:r>
          </w:p>
        </w:tc>
      </w:tr>
    </w:tbl>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Times New Roman" w:hAnsi="Times New Roman" w:eastAsia="方正仿宋_GBK" w:cs="Times New Roman"/>
          <w:i w:val="0"/>
          <w:iCs w:val="0"/>
          <w:caps w:val="0"/>
          <w:color w:val="333333"/>
          <w:spacing w:val="0"/>
          <w:kern w:val="0"/>
          <w:sz w:val="32"/>
          <w:szCs w:val="32"/>
          <w:lang w:val="en-US" w:eastAsia="zh-CN" w:bidi="ar"/>
        </w:rPr>
        <w:t xml:space="preserve">    </w:t>
      </w:r>
      <w:r>
        <w:rPr>
          <w:rFonts w:hint="eastAsia" w:ascii="方正黑体_GBK" w:hAnsi="方正黑体_GBK" w:eastAsia="方正黑体_GBK" w:cs="方正黑体_GBK"/>
          <w:i w:val="0"/>
          <w:iCs w:val="0"/>
          <w:caps w:val="0"/>
          <w:color w:val="auto"/>
          <w:spacing w:val="0"/>
          <w:kern w:val="0"/>
          <w:sz w:val="32"/>
          <w:szCs w:val="32"/>
          <w:lang w:val="en-US" w:eastAsia="zh-CN" w:bidi="ar"/>
        </w:rPr>
        <w:t>五、当前存在的主要问题及下步改进措施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iCs w:val="0"/>
          <w:caps w:val="0"/>
          <w:color w:val="auto"/>
          <w:spacing w:val="0"/>
          <w:kern w:val="0"/>
          <w:sz w:val="32"/>
          <w:szCs w:val="32"/>
          <w:lang w:val="en-US" w:eastAsia="zh-CN" w:bidi="ar"/>
        </w:rPr>
      </w:pPr>
      <w:r>
        <w:rPr>
          <w:rFonts w:hint="eastAsia" w:ascii="Times New Roman" w:hAnsi="Times New Roman" w:eastAsia="方正仿宋_GBK" w:cs="Times New Roman"/>
          <w:i w:val="0"/>
          <w:iCs w:val="0"/>
          <w:caps w:val="0"/>
          <w:color w:val="auto"/>
          <w:spacing w:val="0"/>
          <w:kern w:val="0"/>
          <w:sz w:val="32"/>
          <w:szCs w:val="32"/>
          <w:lang w:val="en-US" w:eastAsia="zh-CN" w:bidi="ar"/>
        </w:rPr>
        <w:t>2021年存在的主要问题：统计数据的发布体系还不够完善，工作能力与政府信息公开工作要求还有差距。</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iCs w:val="0"/>
          <w:caps w:val="0"/>
          <w:color w:val="333333"/>
          <w:spacing w:val="0"/>
          <w:kern w:val="0"/>
          <w:sz w:val="32"/>
          <w:szCs w:val="32"/>
          <w:lang w:val="en-US" w:eastAsia="zh-CN" w:bidi="ar"/>
        </w:rPr>
      </w:pPr>
      <w:r>
        <w:rPr>
          <w:rFonts w:hint="eastAsia" w:ascii="Times New Roman" w:hAnsi="Times New Roman" w:eastAsia="方正仿宋_GBK" w:cs="Times New Roman"/>
          <w:i w:val="0"/>
          <w:iCs w:val="0"/>
          <w:caps w:val="0"/>
          <w:color w:val="auto"/>
          <w:spacing w:val="0"/>
          <w:kern w:val="0"/>
          <w:sz w:val="32"/>
          <w:szCs w:val="32"/>
          <w:lang w:val="en-US" w:eastAsia="zh-CN" w:bidi="ar"/>
        </w:rPr>
        <w:t>2022年改进工作措施：一是提升数</w:t>
      </w:r>
      <w:r>
        <w:rPr>
          <w:rFonts w:hint="eastAsia" w:ascii="Times New Roman" w:hAnsi="Times New Roman" w:eastAsia="方正仿宋_GBK" w:cs="Times New Roman"/>
          <w:i w:val="0"/>
          <w:iCs w:val="0"/>
          <w:caps w:val="0"/>
          <w:color w:val="333333"/>
          <w:spacing w:val="0"/>
          <w:kern w:val="0"/>
          <w:sz w:val="32"/>
          <w:szCs w:val="32"/>
          <w:lang w:val="en-US" w:eastAsia="zh-CN" w:bidi="ar"/>
        </w:rPr>
        <w:t>据发布质效。强化经费保障，拓宽发布渠道，完善发布体系，围绕社会关切，开展更丰富、更深入的解读。二是加大业务培训力度。举办专题培训班，科学设置培训内容，详细讲解重点事项，增强培训的针对性和系统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i w:val="0"/>
          <w:iCs w:val="0"/>
          <w:caps w:val="0"/>
          <w:color w:val="333333"/>
          <w:spacing w:val="0"/>
          <w:kern w:val="0"/>
          <w:sz w:val="32"/>
          <w:szCs w:val="32"/>
          <w:lang w:val="en-US" w:eastAsia="zh-CN" w:bidi="ar"/>
        </w:rPr>
      </w:pPr>
      <w:r>
        <w:rPr>
          <w:rFonts w:hint="eastAsia" w:ascii="方正黑体_GBK" w:hAnsi="方正黑体_GBK" w:eastAsia="方正黑体_GBK" w:cs="方正黑体_GBK"/>
          <w:i w:val="0"/>
          <w:iCs w:val="0"/>
          <w:caps w:val="0"/>
          <w:color w:val="333333"/>
          <w:spacing w:val="0"/>
          <w:kern w:val="0"/>
          <w:sz w:val="32"/>
          <w:szCs w:val="32"/>
          <w:lang w:val="en-US" w:eastAsia="zh-CN" w:bidi="ar"/>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i w:val="0"/>
          <w:iCs w:val="0"/>
          <w:caps w:val="0"/>
          <w:color w:val="333333"/>
          <w:spacing w:val="0"/>
          <w:kern w:val="0"/>
          <w:sz w:val="32"/>
          <w:szCs w:val="32"/>
          <w:lang w:val="en-US" w:eastAsia="zh-CN" w:bidi="ar"/>
        </w:rPr>
      </w:pPr>
      <w:r>
        <w:rPr>
          <w:rFonts w:hint="eastAsia" w:ascii="Times New Roman" w:hAnsi="Times New Roman" w:eastAsia="方正仿宋_GBK" w:cs="Times New Roman"/>
          <w:i w:val="0"/>
          <w:iCs w:val="0"/>
          <w:caps w:val="0"/>
          <w:color w:val="333333"/>
          <w:spacing w:val="0"/>
          <w:kern w:val="0"/>
          <w:sz w:val="32"/>
          <w:szCs w:val="32"/>
          <w:lang w:val="en-US" w:eastAsia="zh-CN" w:bidi="ar"/>
        </w:rPr>
        <w:t>2021年，重庆市统计局认真贯彻执行《政府信息公开条例》和《</w:t>
      </w:r>
      <w:r>
        <w:rPr>
          <w:rFonts w:hint="eastAsia" w:ascii="Times New Roman" w:hAnsi="Times New Roman" w:eastAsia="方正仿宋_GBK" w:cs="Times New Roman"/>
          <w:i w:val="0"/>
          <w:iCs w:val="0"/>
          <w:caps w:val="0"/>
          <w:color w:val="333333"/>
          <w:spacing w:val="0"/>
          <w:kern w:val="0"/>
          <w:sz w:val="32"/>
          <w:szCs w:val="32"/>
          <w:lang w:val="en-US" w:eastAsia="zh-CN" w:bidi="ar"/>
        </w:rPr>
        <w:t>国务院办公厅关于印发2021年政务公开工作要点的通知》（国办发〔2021〕12号）要求，各项政府信息公开工作得到全面落实，</w:t>
      </w:r>
      <w:bookmarkStart w:id="0" w:name="_GoBack"/>
      <w:bookmarkEnd w:id="0"/>
      <w:r>
        <w:rPr>
          <w:rFonts w:hint="eastAsia" w:ascii="Times New Roman" w:hAnsi="Times New Roman" w:eastAsia="方正仿宋_GBK" w:cs="Times New Roman"/>
          <w:i w:val="0"/>
          <w:iCs w:val="0"/>
          <w:caps w:val="0"/>
          <w:color w:val="333333"/>
          <w:spacing w:val="0"/>
          <w:kern w:val="0"/>
          <w:sz w:val="32"/>
          <w:szCs w:val="32"/>
          <w:lang w:val="en-US" w:eastAsia="zh-CN" w:bidi="ar"/>
        </w:rPr>
        <w:t>无其他需要报告的事项。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333333"/>
          <w:spacing w:val="0"/>
          <w:kern w:val="0"/>
          <w:sz w:val="32"/>
          <w:szCs w:val="32"/>
          <w:lang w:val="en-US" w:eastAsia="zh-CN" w:bidi="ar"/>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610CC"/>
    <w:rsid w:val="07A21D4F"/>
    <w:rsid w:val="08C610CC"/>
    <w:rsid w:val="1D787C71"/>
    <w:rsid w:val="1FFF10EF"/>
    <w:rsid w:val="2FB7B6E8"/>
    <w:rsid w:val="36FF89D1"/>
    <w:rsid w:val="3AFF0D84"/>
    <w:rsid w:val="3EFD3F3F"/>
    <w:rsid w:val="3EFDABAC"/>
    <w:rsid w:val="3FDA9812"/>
    <w:rsid w:val="3FFBDFAD"/>
    <w:rsid w:val="4FDB9F5E"/>
    <w:rsid w:val="53D65ED8"/>
    <w:rsid w:val="55AA0E29"/>
    <w:rsid w:val="5BBC5BE8"/>
    <w:rsid w:val="5E3A8B0A"/>
    <w:rsid w:val="5FB764F1"/>
    <w:rsid w:val="5FBD4F93"/>
    <w:rsid w:val="5FFFC2B0"/>
    <w:rsid w:val="6BFE9191"/>
    <w:rsid w:val="6D6FD7B9"/>
    <w:rsid w:val="6DF75354"/>
    <w:rsid w:val="6E6B91CA"/>
    <w:rsid w:val="72FFAA61"/>
    <w:rsid w:val="75B9E433"/>
    <w:rsid w:val="79B4AF54"/>
    <w:rsid w:val="79BF36A2"/>
    <w:rsid w:val="7B65951B"/>
    <w:rsid w:val="7B97E369"/>
    <w:rsid w:val="7D4FC547"/>
    <w:rsid w:val="7D7B404C"/>
    <w:rsid w:val="7DFF54B1"/>
    <w:rsid w:val="7EFFE8DF"/>
    <w:rsid w:val="7FAA6CB1"/>
    <w:rsid w:val="7FB5D94A"/>
    <w:rsid w:val="7FE0A2EA"/>
    <w:rsid w:val="7FFE4BB4"/>
    <w:rsid w:val="7FFFF5B2"/>
    <w:rsid w:val="8F3C7D52"/>
    <w:rsid w:val="93BF7611"/>
    <w:rsid w:val="9F5F1053"/>
    <w:rsid w:val="9FFF7406"/>
    <w:rsid w:val="ADFF93EA"/>
    <w:rsid w:val="B4CB3F79"/>
    <w:rsid w:val="B6F76A5C"/>
    <w:rsid w:val="B7FF13E6"/>
    <w:rsid w:val="BF9A0A41"/>
    <w:rsid w:val="C3EDE9B0"/>
    <w:rsid w:val="CDFE0C98"/>
    <w:rsid w:val="CDFF14A2"/>
    <w:rsid w:val="D8FE8F43"/>
    <w:rsid w:val="DAF9BA62"/>
    <w:rsid w:val="DB3EB8B9"/>
    <w:rsid w:val="DB7BD0A8"/>
    <w:rsid w:val="DF5A710C"/>
    <w:rsid w:val="DFDF82B8"/>
    <w:rsid w:val="DFFBF460"/>
    <w:rsid w:val="EDD7146D"/>
    <w:rsid w:val="EDF8242C"/>
    <w:rsid w:val="EF7F5328"/>
    <w:rsid w:val="EFFFBED4"/>
    <w:rsid w:val="F12F4636"/>
    <w:rsid w:val="F2FA80DD"/>
    <w:rsid w:val="F69CED25"/>
    <w:rsid w:val="F79FE6B0"/>
    <w:rsid w:val="F7E718CA"/>
    <w:rsid w:val="FA5D79DA"/>
    <w:rsid w:val="FBFE4424"/>
    <w:rsid w:val="FCF3ADD0"/>
    <w:rsid w:val="FDF3831A"/>
    <w:rsid w:val="FFC63BEC"/>
    <w:rsid w:val="FFDFF6E8"/>
    <w:rsid w:val="FFFB07F3"/>
    <w:rsid w:val="FFFFF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2022-01-22T11:33:00Z</dcterms:created>
  <dc:creator>阵雨</dc:creator>
  <cp:lastModifiedBy>cqtj</cp:lastModifiedBy>
  <dcterms:modified xsi:type="dcterms:W3CDTF">2022-01-26T15:39:09Z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78B29D58CC9747A786DFD99E7FFF8150</vt:lpwstr>
  </property>
</Properties>
</file>